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F4941" w14:textId="77777777" w:rsidR="00035CAA" w:rsidRPr="00035CAA" w:rsidRDefault="00035CAA" w:rsidP="00035C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ESTUDO TÉCNICO PRELIMINAR (ETP)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br/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Aquisição de Peças para Veículo Oficial da Saúde – Van Ford Transit 2022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br/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Município de Ernestina – Secretaria Municipal de Saúde</w:t>
      </w:r>
    </w:p>
    <w:p w14:paraId="09BA34BC" w14:textId="06EFC54D" w:rsidR="00035CAA" w:rsidRPr="00035CAA" w:rsidRDefault="00035CAA" w:rsidP="00035CAA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4785B5FC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1. Identificação da Necessidade</w:t>
      </w:r>
    </w:p>
    <w:p w14:paraId="6FA36C65" w14:textId="7ED89DC1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A Secretaria Municipal de Saúde de Ernestina necessita adquirir 04 (quatro) bicos injetores e 01 (uma) bomba de combustível para o veículo oficial 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Van F</w:t>
      </w:r>
      <w:r w:rsidR="00DE01E8"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ORD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Transit, ano/modelo 2022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>, integrante da frota utilizada no transporte de pacientes para tratamentos fora do domicílio (TFD) e demais demandas da saúde pública local.</w:t>
      </w:r>
    </w:p>
    <w:p w14:paraId="6B825573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>A manutenção corretiva é imprescindível para que o veículo continue operando de forma segura, eficiente e regular, garantindo o acesso da população aos serviços de saúde especializados em outros municípios.</w:t>
      </w:r>
    </w:p>
    <w:p w14:paraId="0215193D" w14:textId="3770D1BF" w:rsidR="00035CAA" w:rsidRPr="00035CAA" w:rsidRDefault="00035CAA" w:rsidP="00035CAA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7E75E165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2. Justificativa da Aquisição</w:t>
      </w:r>
    </w:p>
    <w:p w14:paraId="0B54CE4B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>O referido veículo apresentou falhas operacionais diagnosticadas como problemas nos bicos injetores e na bomba de combustível. A substituição dessas peças é condição indispensável para o pleno funcionamento do motor, além de atender normas de segurança e desempenho do transporte público de pacientes.</w:t>
      </w:r>
    </w:p>
    <w:p w14:paraId="32718C8A" w14:textId="7825E462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A utilização de 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peças originais de fábrica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 se faz necessária para preservar a garantia, durabilidade e compatibilidade técnica com o sistema de injeção eletrônica do motor, sendo expressamente recomendado pelo fabricante do veículo.</w:t>
      </w:r>
    </w:p>
    <w:p w14:paraId="492949BF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3. Especificação Técnica das Peças</w:t>
      </w:r>
    </w:p>
    <w:p w14:paraId="4FFF0664" w14:textId="77777777" w:rsidR="00035CAA" w:rsidRPr="00035CAA" w:rsidRDefault="00035CAA" w:rsidP="00035CAA">
      <w:pPr>
        <w:numPr>
          <w:ilvl w:val="0"/>
          <w:numId w:val="3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4 (quatro) bicos injetores originais Ford para Van Transit 2022 (motor diesel)</w:t>
      </w:r>
    </w:p>
    <w:p w14:paraId="05A51AA6" w14:textId="77777777" w:rsidR="00035CAA" w:rsidRPr="00035CAA" w:rsidRDefault="00035CAA" w:rsidP="00035CAA">
      <w:pPr>
        <w:numPr>
          <w:ilvl w:val="0"/>
          <w:numId w:val="3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1 (uma) bomba de combustível original Ford compatível com Van Transit 2022</w:t>
      </w:r>
    </w:p>
    <w:p w14:paraId="4611A8D6" w14:textId="54B45E0E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As peças deverão ser 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novas, originais, com nota fiscal e garantia do fabricante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>, assegurando sua procedência e conformidade com os padrões da montadora Ford.</w:t>
      </w:r>
    </w:p>
    <w:p w14:paraId="2E86E545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4. Levantamento de Mercado</w:t>
      </w:r>
    </w:p>
    <w:p w14:paraId="08166581" w14:textId="5686768F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Foi identificado que a 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empresa F</w:t>
      </w:r>
      <w:r w:rsidR="00DE01E8"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ORD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</w:t>
      </w:r>
      <w:proofErr w:type="spellStart"/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Gambatto</w:t>
      </w:r>
      <w:proofErr w:type="spellEnd"/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, localizada em Passo Fundo/RS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, é a autorizada mais próxima da sede do município de Ernestina, apta a fornecer as peças </w:t>
      </w:r>
      <w:r w:rsidR="00DE01E8" w:rsidRPr="00035CAA">
        <w:rPr>
          <w:rFonts w:ascii="Times New Roman" w:eastAsia="Times New Roman" w:hAnsi="Times New Roman" w:cs="Times New Roman"/>
          <w:color w:val="auto"/>
          <w:szCs w:val="24"/>
        </w:rPr>
        <w:t>GENUÍNAS FORD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>, com garantia e dentro dos parâmetros técnicos exigidos.</w:t>
      </w:r>
    </w:p>
    <w:p w14:paraId="5E40CCBE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>A empresa indicada possui capacitaç</w:t>
      </w:r>
      <w:bookmarkStart w:id="0" w:name="_GoBack"/>
      <w:bookmarkEnd w:id="0"/>
      <w:r w:rsidRPr="00035CAA">
        <w:rPr>
          <w:rFonts w:ascii="Times New Roman" w:eastAsia="Times New Roman" w:hAnsi="Times New Roman" w:cs="Times New Roman"/>
          <w:color w:val="auto"/>
          <w:szCs w:val="24"/>
        </w:rPr>
        <w:t>ão técnica e comercial para fornecimento, atendendo também a requisitos de entrega e emissão de nota fiscal compatível com a aquisição pública.</w:t>
      </w:r>
    </w:p>
    <w:p w14:paraId="76FB8EC7" w14:textId="2A91E4D8" w:rsidR="00035CAA" w:rsidRPr="00035CAA" w:rsidRDefault="00035CAA" w:rsidP="00035CAA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2BA16EDE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lastRenderedPageBreak/>
        <w:t>5. Fundamentação Legal</w:t>
      </w:r>
    </w:p>
    <w:p w14:paraId="6B26F6D0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>A aquisição está amparada pelos seguintes dispositivos legais:</w:t>
      </w:r>
    </w:p>
    <w:p w14:paraId="50D7844B" w14:textId="77777777" w:rsidR="00035CAA" w:rsidRPr="00035CAA" w:rsidRDefault="00035CAA" w:rsidP="00035CAA">
      <w:pPr>
        <w:numPr>
          <w:ilvl w:val="0"/>
          <w:numId w:val="4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Lei Federal nº 14.133/2021 (Nova Lei de Licitações e Contratos)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, art. 75, inciso II, que permite 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dispensa de licitação para contratação de baixo valor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>, desde que observados os limites legais e que a escolha do fornecedor seja devidamente justificada.</w:t>
      </w:r>
    </w:p>
    <w:p w14:paraId="76FB1F76" w14:textId="77777777" w:rsidR="00035CAA" w:rsidRPr="00035CAA" w:rsidRDefault="00035CAA" w:rsidP="00035CAA">
      <w:pPr>
        <w:numPr>
          <w:ilvl w:val="0"/>
          <w:numId w:val="4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Art. 74 da mesma lei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>, que exige a elaboração de Estudo Técnico Preliminar para embasar a contratação pública.</w:t>
      </w:r>
    </w:p>
    <w:p w14:paraId="1AF2F97D" w14:textId="77777777" w:rsidR="00035CAA" w:rsidRPr="00035CAA" w:rsidRDefault="00035CAA" w:rsidP="00035CAA">
      <w:pPr>
        <w:numPr>
          <w:ilvl w:val="0"/>
          <w:numId w:val="4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Princípio da eficiência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 (art. 11 da Lei nº 14.133/21) e 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continuidade do serviço público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>, especialmente no que tange à manutenção dos serviços essenciais de saúde.</w:t>
      </w:r>
    </w:p>
    <w:p w14:paraId="765A018E" w14:textId="3A0503B1" w:rsidR="00035CAA" w:rsidRPr="00035CAA" w:rsidRDefault="00035CAA" w:rsidP="00035CAA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75FA99EC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6. Riscos da Não Aquisição</w:t>
      </w:r>
    </w:p>
    <w:p w14:paraId="29EFDDF5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A ausência ou demora na aquisição das peças comprometerá o funcionamento do veículo, implicando na </w:t>
      </w: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suspensão de serviços essenciais de transporte de pacientes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>, gerando prejuízos ao atendimento de saúde, além de possíveis sanções por negligência na gestão da frota pública.</w:t>
      </w:r>
    </w:p>
    <w:p w14:paraId="7222D725" w14:textId="6D6B733E" w:rsidR="00035CAA" w:rsidRPr="00035CAA" w:rsidRDefault="00035CAA" w:rsidP="00035CAA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3DA489CC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7. Conclusão</w:t>
      </w:r>
    </w:p>
    <w:p w14:paraId="6C472B8D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Diante do exposto, justifica-se plenamente a aquisição emergencial das peças indicadas, com fornecedor especializado (Ford </w:t>
      </w:r>
      <w:proofErr w:type="spellStart"/>
      <w:r w:rsidRPr="00035CAA">
        <w:rPr>
          <w:rFonts w:ascii="Times New Roman" w:eastAsia="Times New Roman" w:hAnsi="Times New Roman" w:cs="Times New Roman"/>
          <w:color w:val="auto"/>
          <w:szCs w:val="24"/>
        </w:rPr>
        <w:t>Gambatto</w:t>
      </w:r>
      <w:proofErr w:type="spellEnd"/>
      <w:r w:rsidRPr="00035CAA">
        <w:rPr>
          <w:rFonts w:ascii="Times New Roman" w:eastAsia="Times New Roman" w:hAnsi="Times New Roman" w:cs="Times New Roman"/>
          <w:color w:val="auto"/>
          <w:szCs w:val="24"/>
        </w:rPr>
        <w:t>), prezando pela legalidade, eficiência e continuidade do serviço público de saúde.</w:t>
      </w:r>
    </w:p>
    <w:p w14:paraId="015EB544" w14:textId="4E30F879" w:rsidR="00035CAA" w:rsidRPr="00035CAA" w:rsidRDefault="00035CAA" w:rsidP="00035CAA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295C9AB1" w14:textId="20B86663" w:rsid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Responsável pela Elaboração:</w:t>
      </w:r>
    </w:p>
    <w:p w14:paraId="5D3CA633" w14:textId="77777777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60A7397D" w14:textId="24CE7DAF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RAQUEL ALTMANN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br/>
        <w:t>Secretária Municipal de Saúde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br/>
        <w:t>Município de Ernestina – RS</w:t>
      </w:r>
    </w:p>
    <w:p w14:paraId="0A5556CE" w14:textId="45B6492E" w:rsidR="00035CAA" w:rsidRPr="00035CAA" w:rsidRDefault="00035CAA" w:rsidP="00035CAA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035CAA">
        <w:rPr>
          <w:rFonts w:ascii="Times New Roman" w:eastAsia="Times New Roman" w:hAnsi="Times New Roman" w:cs="Times New Roman"/>
          <w:b/>
          <w:bCs/>
          <w:color w:val="auto"/>
          <w:szCs w:val="24"/>
        </w:rPr>
        <w:t>Data: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 Ernestina, 20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 xml:space="preserve"> de 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junho </w:t>
      </w:r>
      <w:r w:rsidRPr="00035CAA">
        <w:rPr>
          <w:rFonts w:ascii="Times New Roman" w:eastAsia="Times New Roman" w:hAnsi="Times New Roman" w:cs="Times New Roman"/>
          <w:color w:val="auto"/>
          <w:szCs w:val="24"/>
        </w:rPr>
        <w:t>de 2025</w:t>
      </w:r>
    </w:p>
    <w:p w14:paraId="3B3A5402" w14:textId="539BA811" w:rsidR="003767AF" w:rsidRPr="00035CAA" w:rsidRDefault="003767AF" w:rsidP="00035CAA"/>
    <w:sectPr w:rsidR="003767AF" w:rsidRPr="00035CAA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0C0277C"/>
    <w:multiLevelType w:val="multilevel"/>
    <w:tmpl w:val="FB62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934588"/>
    <w:multiLevelType w:val="multilevel"/>
    <w:tmpl w:val="752C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834A4A"/>
    <w:multiLevelType w:val="multilevel"/>
    <w:tmpl w:val="6AA2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5C3F01"/>
    <w:multiLevelType w:val="multilevel"/>
    <w:tmpl w:val="B84C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A51A8D"/>
    <w:multiLevelType w:val="multilevel"/>
    <w:tmpl w:val="8AB0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4A0E49"/>
    <w:multiLevelType w:val="multilevel"/>
    <w:tmpl w:val="8B081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151F41"/>
    <w:multiLevelType w:val="multilevel"/>
    <w:tmpl w:val="4CE43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622C9B"/>
    <w:multiLevelType w:val="multilevel"/>
    <w:tmpl w:val="D376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0"/>
  </w:num>
  <w:num w:numId="3">
    <w:abstractNumId w:val="16"/>
  </w:num>
  <w:num w:numId="4">
    <w:abstractNumId w:val="1"/>
  </w:num>
  <w:num w:numId="5">
    <w:abstractNumId w:val="32"/>
  </w:num>
  <w:num w:numId="6">
    <w:abstractNumId w:val="32"/>
  </w:num>
  <w:num w:numId="7">
    <w:abstractNumId w:val="20"/>
  </w:num>
  <w:num w:numId="8">
    <w:abstractNumId w:val="22"/>
  </w:num>
  <w:num w:numId="9">
    <w:abstractNumId w:val="27"/>
  </w:num>
  <w:num w:numId="10">
    <w:abstractNumId w:val="8"/>
  </w:num>
  <w:num w:numId="11">
    <w:abstractNumId w:val="11"/>
  </w:num>
  <w:num w:numId="12">
    <w:abstractNumId w:val="9"/>
  </w:num>
  <w:num w:numId="13">
    <w:abstractNumId w:val="15"/>
  </w:num>
  <w:num w:numId="14">
    <w:abstractNumId w:val="36"/>
  </w:num>
  <w:num w:numId="15">
    <w:abstractNumId w:val="18"/>
  </w:num>
  <w:num w:numId="16">
    <w:abstractNumId w:val="34"/>
  </w:num>
  <w:num w:numId="17">
    <w:abstractNumId w:val="4"/>
  </w:num>
  <w:num w:numId="18">
    <w:abstractNumId w:val="17"/>
  </w:num>
  <w:num w:numId="19">
    <w:abstractNumId w:val="25"/>
  </w:num>
  <w:num w:numId="20">
    <w:abstractNumId w:val="7"/>
  </w:num>
  <w:num w:numId="21">
    <w:abstractNumId w:val="23"/>
  </w:num>
  <w:num w:numId="22">
    <w:abstractNumId w:val="3"/>
  </w:num>
  <w:num w:numId="23">
    <w:abstractNumId w:val="21"/>
  </w:num>
  <w:num w:numId="24">
    <w:abstractNumId w:val="10"/>
  </w:num>
  <w:num w:numId="25">
    <w:abstractNumId w:val="19"/>
  </w:num>
  <w:num w:numId="26">
    <w:abstractNumId w:val="26"/>
  </w:num>
  <w:num w:numId="27">
    <w:abstractNumId w:val="12"/>
  </w:num>
  <w:num w:numId="28">
    <w:abstractNumId w:val="38"/>
  </w:num>
  <w:num w:numId="29">
    <w:abstractNumId w:val="24"/>
  </w:num>
  <w:num w:numId="30">
    <w:abstractNumId w:val="0"/>
  </w:num>
  <w:num w:numId="31">
    <w:abstractNumId w:val="31"/>
  </w:num>
  <w:num w:numId="32">
    <w:abstractNumId w:val="2"/>
  </w:num>
  <w:num w:numId="33">
    <w:abstractNumId w:val="33"/>
  </w:num>
  <w:num w:numId="34">
    <w:abstractNumId w:val="29"/>
  </w:num>
  <w:num w:numId="35">
    <w:abstractNumId w:val="13"/>
  </w:num>
  <w:num w:numId="36">
    <w:abstractNumId w:val="35"/>
  </w:num>
  <w:num w:numId="37">
    <w:abstractNumId w:val="28"/>
  </w:num>
  <w:num w:numId="38">
    <w:abstractNumId w:val="14"/>
  </w:num>
  <w:num w:numId="39">
    <w:abstractNumId w:val="37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9"/>
    <w:rsid w:val="00006A92"/>
    <w:rsid w:val="00014078"/>
    <w:rsid w:val="000239E4"/>
    <w:rsid w:val="00033CA2"/>
    <w:rsid w:val="00035CAA"/>
    <w:rsid w:val="00035F37"/>
    <w:rsid w:val="00046623"/>
    <w:rsid w:val="0004718F"/>
    <w:rsid w:val="00050EA2"/>
    <w:rsid w:val="00051228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2D2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91365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341C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01E8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02D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02D2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5Char">
    <w:name w:val="Título 5 Char"/>
    <w:basedOn w:val="Fontepargpadro"/>
    <w:link w:val="Ttulo5"/>
    <w:uiPriority w:val="9"/>
    <w:semiHidden/>
    <w:rsid w:val="00602D2A"/>
    <w:rPr>
      <w:rFonts w:asciiTheme="majorHAnsi" w:eastAsiaTheme="majorEastAsia" w:hAnsiTheme="majorHAnsi" w:cstheme="majorBidi"/>
      <w:color w:val="2E74B5" w:themeColor="accent1" w:themeShade="BF"/>
      <w:sz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02D2A"/>
    <w:rPr>
      <w:rFonts w:asciiTheme="majorHAnsi" w:eastAsiaTheme="majorEastAsia" w:hAnsiTheme="majorHAnsi" w:cstheme="majorBidi"/>
      <w:color w:val="1F4D78" w:themeColor="accent1" w:themeShade="7F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5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5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7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4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1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43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46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200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912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72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38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143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636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21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25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72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61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132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959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00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75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34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42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21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791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045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987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00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524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cp:lastPrinted>2025-06-05T16:58:00Z</cp:lastPrinted>
  <dcterms:created xsi:type="dcterms:W3CDTF">2025-06-30T18:11:00Z</dcterms:created>
  <dcterms:modified xsi:type="dcterms:W3CDTF">2025-07-02T14:31:00Z</dcterms:modified>
</cp:coreProperties>
</file>