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9F195B">
      <w:pPr>
        <w:keepNext/>
        <w:numPr>
          <w:ilvl w:val="4"/>
          <w:numId w:val="0"/>
        </w:numPr>
        <w:tabs>
          <w:tab w:val="left" w:pos="0"/>
        </w:tabs>
        <w:suppressAutoHyphens/>
        <w:spacing w:after="0" w:line="240" w:lineRule="auto"/>
        <w:jc w:val="center"/>
        <w:outlineLvl w:val="4"/>
        <w:rPr>
          <w:rFonts w:ascii="Cambria" w:hAnsi="Cambria" w:eastAsia="Times New Roman" w:cs="Calibri"/>
          <w:b/>
          <w:lang w:eastAsia="zh-CN"/>
          <w14:ligatures w14:val="none"/>
        </w:rPr>
      </w:pPr>
      <w:r>
        <w:rPr>
          <w:rFonts w:ascii="Cambria" w:hAnsi="Cambria" w:eastAsia="Times New Roman" w:cs="Calibri"/>
          <w:b/>
          <w:color w:val="000000"/>
          <w:lang w:eastAsia="zh-CN"/>
          <w14:ligatures w14:val="none"/>
        </w:rPr>
        <w:t>ESTUDO TÉCNICO PRELIMINAR</w:t>
      </w:r>
    </w:p>
    <w:p w14:paraId="609C9AF6">
      <w:pPr>
        <w:suppressAutoHyphens/>
        <w:spacing w:after="0" w:line="240" w:lineRule="auto"/>
        <w:rPr>
          <w:rFonts w:ascii="Cambria" w:hAnsi="Cambria" w:eastAsia="Times New Roman" w:cs="Calibri"/>
          <w:color w:val="000000"/>
          <w:highlight w:val="yellow"/>
          <w:lang w:eastAsia="zh-CN"/>
          <w14:ligatures w14:val="none"/>
        </w:rPr>
      </w:pPr>
    </w:p>
    <w:p w14:paraId="72F1C693">
      <w:pPr>
        <w:spacing w:after="0" w:line="120" w:lineRule="auto"/>
        <w:jc w:val="center"/>
        <w:rPr>
          <w:rFonts w:ascii="Cambria" w:hAnsi="Cambria" w:eastAsia="Times New Roman" w:cs="Calibri"/>
          <w:b/>
          <w:kern w:val="0"/>
          <w:lang w:eastAsia="zh-CN"/>
          <w14:ligatures w14:val="none"/>
        </w:rPr>
      </w:pPr>
    </w:p>
    <w:tbl>
      <w:tblPr>
        <w:tblStyle w:val="12"/>
        <w:tblW w:w="96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34"/>
      </w:tblGrid>
      <w:tr w14:paraId="60A68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5" w:hRule="atLeast"/>
        </w:trPr>
        <w:tc>
          <w:tcPr>
            <w:tcW w:w="9634" w:type="dxa"/>
            <w:tcBorders>
              <w:top w:val="single" w:color="000000" w:sz="4" w:space="0"/>
              <w:left w:val="single" w:color="000000" w:sz="4" w:space="0"/>
              <w:bottom w:val="single" w:color="000000" w:sz="4" w:space="0"/>
              <w:right w:val="single" w:color="000000" w:sz="4" w:space="0"/>
            </w:tcBorders>
          </w:tcPr>
          <w:p w14:paraId="405BF53B">
            <w:pPr>
              <w:spacing w:after="0" w:line="256" w:lineRule="auto"/>
              <w:rPr>
                <w:rFonts w:ascii="Cambria" w:hAnsi="Cambria" w:eastAsia="Times New Roman" w:cs="Calibri"/>
                <w:b/>
                <w:bCs/>
                <w:kern w:val="0"/>
                <w:lang w:eastAsia="zh-CN"/>
                <w14:ligatures w14:val="none"/>
              </w:rPr>
            </w:pPr>
            <w:r>
              <w:rPr>
                <w:rFonts w:ascii="Cambria" w:hAnsi="Cambria" w:eastAsia="Times New Roman" w:cs="Calibri"/>
                <w:b/>
                <w:bCs/>
                <w:kern w:val="0"/>
                <w:lang w:eastAsia="zh-CN"/>
                <w14:ligatures w14:val="none"/>
              </w:rPr>
              <w:t>Secretaria Requisitante:</w:t>
            </w:r>
          </w:p>
          <w:p w14:paraId="22DBADC7">
            <w:pPr>
              <w:spacing w:after="0" w:line="256" w:lineRule="auto"/>
              <w:rPr>
                <w:rFonts w:ascii="Cambria" w:hAnsi="Cambria" w:eastAsia="Times New Roman" w:cs="Calibri"/>
                <w:kern w:val="0"/>
                <w:lang w:eastAsia="zh-CN"/>
                <w14:ligatures w14:val="none"/>
              </w:rPr>
            </w:pPr>
            <w:r>
              <w:rPr>
                <w:rFonts w:ascii="Cambria" w:hAnsi="Cambria" w:eastAsia="Times New Roman" w:cs="Calibri"/>
                <w:kern w:val="0"/>
                <w:lang w:eastAsia="zh-CN"/>
                <w14:ligatures w14:val="none"/>
              </w:rPr>
              <w:t>Secretaria Municipal de Obras</w:t>
            </w:r>
          </w:p>
        </w:tc>
      </w:tr>
      <w:tr w14:paraId="68788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trPr>
        <w:tc>
          <w:tcPr>
            <w:tcW w:w="9634" w:type="dxa"/>
            <w:tcBorders>
              <w:top w:val="single" w:color="000000" w:sz="4" w:space="0"/>
              <w:left w:val="single" w:color="000000" w:sz="4" w:space="0"/>
              <w:bottom w:val="single" w:color="000000" w:sz="4" w:space="0"/>
              <w:right w:val="single" w:color="000000" w:sz="4" w:space="0"/>
            </w:tcBorders>
          </w:tcPr>
          <w:p w14:paraId="6EAA6264">
            <w:pPr>
              <w:spacing w:after="0" w:line="256" w:lineRule="auto"/>
              <w:rPr>
                <w:rFonts w:ascii="Cambria" w:hAnsi="Cambria" w:eastAsia="Times New Roman" w:cs="Calibri"/>
                <w:b/>
                <w:bCs/>
                <w:kern w:val="0"/>
                <w:lang w:eastAsia="zh-CN"/>
                <w14:ligatures w14:val="none"/>
              </w:rPr>
            </w:pPr>
            <w:r>
              <w:rPr>
                <w:rFonts w:ascii="Cambria" w:hAnsi="Cambria" w:eastAsia="Times New Roman" w:cs="Calibri"/>
                <w:b/>
                <w:bCs/>
                <w:kern w:val="0"/>
                <w:lang w:eastAsia="zh-CN"/>
                <w14:ligatures w14:val="none"/>
              </w:rPr>
              <w:t>Elaboração:</w:t>
            </w:r>
          </w:p>
          <w:p w14:paraId="198D9ACE">
            <w:pPr>
              <w:spacing w:after="0" w:line="256" w:lineRule="auto"/>
              <w:rPr>
                <w:rFonts w:ascii="Cambria" w:hAnsi="Cambria" w:eastAsia="Times New Roman" w:cs="Calibri"/>
                <w:kern w:val="0"/>
                <w:lang w:eastAsia="zh-CN"/>
                <w14:ligatures w14:val="none"/>
              </w:rPr>
            </w:pPr>
            <w:r>
              <w:rPr>
                <w:rFonts w:ascii="Cambria" w:hAnsi="Cambria" w:eastAsia="Times New Roman" w:cs="Calibri"/>
                <w:kern w:val="0"/>
                <w:lang w:eastAsia="zh-CN"/>
                <w14:ligatures w14:val="none"/>
              </w:rPr>
              <w:t>Secretaria Municipal da Administração</w:t>
            </w:r>
          </w:p>
        </w:tc>
      </w:tr>
      <w:tr w14:paraId="434CD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trPr>
        <w:tc>
          <w:tcPr>
            <w:tcW w:w="9634" w:type="dxa"/>
            <w:tcBorders>
              <w:top w:val="single" w:color="000000" w:sz="4" w:space="0"/>
              <w:left w:val="single" w:color="000000" w:sz="4" w:space="0"/>
              <w:bottom w:val="single" w:color="000000" w:sz="4" w:space="0"/>
              <w:right w:val="single" w:color="000000" w:sz="4" w:space="0"/>
            </w:tcBorders>
          </w:tcPr>
          <w:p w14:paraId="7347B96C">
            <w:pPr>
              <w:spacing w:after="0" w:line="256" w:lineRule="auto"/>
              <w:rPr>
                <w:rFonts w:ascii="Cambria" w:hAnsi="Cambria" w:eastAsia="Times New Roman" w:cs="Calibri"/>
                <w:b/>
                <w:bCs/>
                <w:kern w:val="0"/>
                <w:lang w:eastAsia="zh-CN"/>
                <w14:ligatures w14:val="none"/>
              </w:rPr>
            </w:pPr>
            <w:r>
              <w:rPr>
                <w:rFonts w:ascii="Cambria" w:hAnsi="Cambria" w:eastAsia="Times New Roman" w:cs="Calibri"/>
                <w:b/>
                <w:bCs/>
                <w:kern w:val="0"/>
                <w:lang w:eastAsia="zh-CN"/>
                <w14:ligatures w14:val="none"/>
              </w:rPr>
              <w:t>Objeto da Contratação/Aquisição:</w:t>
            </w:r>
          </w:p>
          <w:p w14:paraId="21A147D1">
            <w:pPr>
              <w:spacing w:after="0" w:line="256" w:lineRule="auto"/>
              <w:jc w:val="both"/>
              <w:rPr>
                <w:rFonts w:ascii="Cambria" w:hAnsi="Cambria" w:eastAsia="Times New Roman" w:cs="Calibri"/>
                <w:kern w:val="0"/>
                <w:lang w:eastAsia="zh-CN"/>
                <w14:ligatures w14:val="none"/>
              </w:rPr>
            </w:pPr>
            <w:r>
              <w:rPr>
                <w:rFonts w:ascii="Cambria" w:hAnsi="Cambria" w:eastAsia="Times New Roman" w:cs="Calibri"/>
                <w:kern w:val="0"/>
                <w:lang w:eastAsia="zh-CN"/>
                <w14:ligatures w14:val="none"/>
              </w:rPr>
              <w:t>Contratação de empresa especializada para fornecimento de peças e prestação de serviços de mão de obra destinados à manutenção corretiva da motoniveladora CATERPILLAR 120K, em razão da quebra da ponta de eixo, incluindo desmontagem, substituição de componentes, montagem e testes operacionais.</w:t>
            </w:r>
          </w:p>
        </w:tc>
      </w:tr>
    </w:tbl>
    <w:p w14:paraId="1F826E39">
      <w:pPr>
        <w:keepNext/>
        <w:numPr>
          <w:ilvl w:val="4"/>
          <w:numId w:val="0"/>
        </w:numPr>
        <w:tabs>
          <w:tab w:val="left" w:pos="0"/>
        </w:tabs>
        <w:suppressAutoHyphens/>
        <w:spacing w:after="0" w:line="240" w:lineRule="auto"/>
        <w:outlineLvl w:val="4"/>
        <w:rPr>
          <w:rFonts w:ascii="Cambria" w:hAnsi="Cambria" w:eastAsia="Times New Roman" w:cs="Calibri"/>
          <w:b/>
          <w:color w:val="000000"/>
          <w:lang w:eastAsia="zh-CN"/>
          <w14:ligatures w14:val="none"/>
        </w:rPr>
      </w:pPr>
    </w:p>
    <w:p w14:paraId="69CB4F74">
      <w:pPr>
        <w:shd w:val="clear" w:color="auto" w:fill="B4C6E7"/>
        <w:suppressAutoHyphens/>
        <w:spacing w:after="0" w:line="240" w:lineRule="auto"/>
        <w:rPr>
          <w:rFonts w:ascii="Cambria" w:hAnsi="Cambria" w:eastAsia="Times New Roman" w:cs="Calibri"/>
          <w:lang w:eastAsia="zh-CN"/>
          <w14:ligatures w14:val="none"/>
        </w:rPr>
      </w:pPr>
      <w:r>
        <w:rPr>
          <w:rFonts w:ascii="Cambria" w:hAnsi="Cambria" w:eastAsia="Times New Roman" w:cs="Calibri"/>
          <w:b/>
          <w:bCs/>
          <w:color w:val="000000"/>
          <w:lang w:eastAsia="zh-CN"/>
          <w14:ligatures w14:val="none"/>
        </w:rPr>
        <w:t xml:space="preserve">1. </w:t>
      </w:r>
      <w:r>
        <w:rPr>
          <w:rFonts w:ascii="Cambria" w:hAnsi="Cambria" w:eastAsia="Times New Roman" w:cs="Calibri"/>
          <w:b/>
          <w:bCs/>
          <w:color w:val="000000"/>
          <w:shd w:val="clear" w:color="auto" w:fill="B4C6E7"/>
          <w:lang w:eastAsia="zh-CN"/>
          <w14:ligatures w14:val="none"/>
        </w:rPr>
        <w:t>DESCRIÇÃO DA NECESSIDADE (JUSTIFICATIVA)</w:t>
      </w:r>
    </w:p>
    <w:p w14:paraId="37B411AC">
      <w:pPr>
        <w:suppressAutoHyphens/>
        <w:spacing w:after="0" w:line="240" w:lineRule="auto"/>
        <w:jc w:val="both"/>
        <w:rPr>
          <w:rFonts w:ascii="Cambria" w:hAnsi="Cambria" w:eastAsia="Times New Roman" w:cs="Calibri"/>
          <w:color w:val="000000"/>
          <w:lang w:eastAsia="zh-CN"/>
          <w14:ligatures w14:val="none"/>
        </w:rPr>
      </w:pPr>
    </w:p>
    <w:p w14:paraId="63D18690">
      <w:pPr>
        <w:suppressAutoHyphens/>
        <w:spacing w:after="0" w:line="240" w:lineRule="auto"/>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O presente Estudo Técnico Preliminar tem por finalidade justificar a contratação de empresa especializada para execução de serviços de manutenção corretiva da motoniveladora CATERPILLAR 120K.</w:t>
      </w:r>
    </w:p>
    <w:p w14:paraId="78243F24">
      <w:pPr>
        <w:suppressAutoHyphens/>
        <w:spacing w:after="0" w:line="240" w:lineRule="auto"/>
        <w:jc w:val="both"/>
        <w:rPr>
          <w:rFonts w:ascii="Cambria" w:hAnsi="Cambria" w:eastAsia="Times New Roman" w:cs="Calibri"/>
          <w:color w:val="000000"/>
          <w:lang w:eastAsia="zh-CN"/>
          <w14:ligatures w14:val="none"/>
        </w:rPr>
      </w:pPr>
    </w:p>
    <w:p w14:paraId="21973972">
      <w:pPr>
        <w:suppressAutoHyphens/>
        <w:spacing w:after="0" w:line="240" w:lineRule="auto"/>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O equipamento apresentou quebra da ponta de eixo, falha mecânica que compromete integralmente sua utilização, inviabilizando a continuidade dos serviços executados pela Secretaria Municipal de Obras.</w:t>
      </w:r>
    </w:p>
    <w:p w14:paraId="41839D83">
      <w:pPr>
        <w:suppressAutoHyphens/>
        <w:spacing w:after="0" w:line="240" w:lineRule="auto"/>
        <w:jc w:val="both"/>
        <w:rPr>
          <w:rFonts w:ascii="Cambria" w:hAnsi="Cambria" w:eastAsia="Times New Roman" w:cs="Calibri"/>
          <w:color w:val="000000"/>
          <w:lang w:eastAsia="zh-CN"/>
          <w14:ligatures w14:val="none"/>
        </w:rPr>
      </w:pPr>
    </w:p>
    <w:p w14:paraId="713E6EEC">
      <w:pPr>
        <w:suppressAutoHyphens/>
        <w:spacing w:after="0" w:line="240" w:lineRule="auto"/>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Destaca-se que a referida motoniveladora já passou por manutenção corretiva no mês de fevereiro de 2026, relacionada ao sistema de injeção (injetores), conforme processo anterior, tratando-se de intervenção de natureza distinta e sem relação técnica direta com o problema atual, uma vez que a falha ora constatada refere-se a componente mecânico do sistema de transmissão/rodagem.</w:t>
      </w:r>
    </w:p>
    <w:p w14:paraId="033246C1">
      <w:pPr>
        <w:suppressAutoHyphens/>
        <w:spacing w:after="0" w:line="240" w:lineRule="auto"/>
        <w:jc w:val="both"/>
        <w:rPr>
          <w:rFonts w:ascii="Cambria" w:hAnsi="Cambria" w:eastAsia="Times New Roman" w:cs="Calibri"/>
          <w:color w:val="000000"/>
          <w:lang w:eastAsia="zh-CN"/>
          <w14:ligatures w14:val="none"/>
        </w:rPr>
      </w:pPr>
    </w:p>
    <w:p w14:paraId="3AD106B2">
      <w:pPr>
        <w:suppressAutoHyphens/>
        <w:spacing w:after="0" w:line="240" w:lineRule="auto"/>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O Município não dispõe de equipe técnica especializada nem de estrutura adequada para execução deste tipo de serviço, tornando indispensável a contratação de empresa qualificada.</w:t>
      </w:r>
    </w:p>
    <w:p w14:paraId="7FFAB76D">
      <w:pPr>
        <w:suppressAutoHyphens/>
        <w:spacing w:after="0" w:line="240" w:lineRule="auto"/>
        <w:jc w:val="both"/>
        <w:rPr>
          <w:rFonts w:ascii="Cambria" w:hAnsi="Cambria" w:eastAsia="Times New Roman" w:cs="Calibri"/>
          <w:color w:val="000000"/>
          <w:lang w:eastAsia="zh-CN"/>
          <w14:ligatures w14:val="none"/>
        </w:rPr>
      </w:pPr>
    </w:p>
    <w:p w14:paraId="31589132">
      <w:pPr>
        <w:suppressAutoHyphens/>
        <w:spacing w:after="0" w:line="240" w:lineRule="auto"/>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A manutenção corretiva mostra-se como a solução mais adequada, visando o restabelecimento da operacionalidade do equipamento, essencial à manutenção de estradas vicinais, apoio à agricultura e execução de obras públicas.</w:t>
      </w:r>
    </w:p>
    <w:p w14:paraId="6126EA76">
      <w:pPr>
        <w:suppressAutoHyphens/>
        <w:spacing w:after="0" w:line="240" w:lineRule="auto"/>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ab/>
      </w:r>
    </w:p>
    <w:p w14:paraId="2CFD890F">
      <w:pPr>
        <w:shd w:val="clear" w:color="auto" w:fill="B4C6E7"/>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00" w:lineRule="atLeast"/>
        <w:rPr>
          <w:rFonts w:ascii="Cambria" w:hAnsi="Cambria" w:eastAsia="Times New Roman" w:cs="Calibri"/>
          <w:lang w:eastAsia="zh-CN"/>
          <w14:ligatures w14:val="none"/>
        </w:rPr>
      </w:pPr>
      <w:r>
        <w:rPr>
          <w:rFonts w:ascii="Cambria" w:hAnsi="Cambria" w:eastAsia="Times New Roman" w:cs="Calibri"/>
          <w:b/>
          <w:color w:val="000000"/>
          <w:lang w:eastAsia="zh-CN"/>
          <w14:ligatures w14:val="none"/>
        </w:rPr>
        <w:t>2. ALINHAMENTO ENTRE A CONTRATAÇÃO/AQUISIÇÃO E O PLANEJAMENTO</w:t>
      </w:r>
    </w:p>
    <w:p w14:paraId="157FD646">
      <w:pPr>
        <w:suppressAutoHyphens/>
        <w:spacing w:after="0" w:line="100" w:lineRule="atLeast"/>
        <w:jc w:val="both"/>
        <w:rPr>
          <w:rFonts w:ascii="Cambria" w:hAnsi="Cambria" w:eastAsia="Times New Roman" w:cs="Calibri"/>
          <w:lang w:eastAsia="zh-CN"/>
          <w14:ligatures w14:val="none"/>
        </w:rPr>
      </w:pPr>
      <w:r>
        <w:rPr>
          <w:rFonts w:ascii="Cambria" w:hAnsi="Cambria" w:eastAsia="Times New Roman" w:cs="Calibri"/>
          <w:lang w:eastAsia="zh-CN"/>
          <w14:ligatures w14:val="none"/>
        </w:rPr>
        <w:tab/>
      </w:r>
    </w:p>
    <w:p w14:paraId="3E2F9300">
      <w:pPr>
        <w:suppressAutoHyphens/>
        <w:spacing w:after="0" w:line="100" w:lineRule="atLeast"/>
        <w:jc w:val="both"/>
        <w:rPr>
          <w:rFonts w:ascii="Cambria" w:hAnsi="Cambria" w:eastAsia="Times New Roman" w:cs="Calibri"/>
          <w:lang w:eastAsia="zh-CN"/>
          <w14:ligatures w14:val="none"/>
        </w:rPr>
      </w:pPr>
      <w:r>
        <w:rPr>
          <w:rFonts w:ascii="Cambria" w:hAnsi="Cambria" w:eastAsia="Times New Roman" w:cs="Calibri"/>
          <w:lang w:eastAsia="zh-CN"/>
          <w14:ligatures w14:val="none"/>
        </w:rPr>
        <w:t>A presente contratação decorre de falha mecânica superveniente e imprevisível, não estando vinculada a Plano Anual de Contratações – PAC, o qual encontra-se em fase de implementação no Município.</w:t>
      </w:r>
    </w:p>
    <w:p w14:paraId="42273F7E">
      <w:pPr>
        <w:suppressAutoHyphens/>
        <w:spacing w:after="0" w:line="100" w:lineRule="atLeast"/>
        <w:jc w:val="both"/>
        <w:rPr>
          <w:rFonts w:ascii="Cambria" w:hAnsi="Cambria" w:eastAsia="Times New Roman" w:cs="Calibri"/>
          <w:lang w:eastAsia="zh-CN"/>
          <w14:ligatures w14:val="none"/>
        </w:rPr>
      </w:pPr>
    </w:p>
    <w:p w14:paraId="521E74AC">
      <w:pPr>
        <w:suppressAutoHyphens/>
        <w:spacing w:after="0" w:line="100" w:lineRule="atLeast"/>
        <w:jc w:val="both"/>
        <w:rPr>
          <w:rFonts w:ascii="Cambria" w:hAnsi="Cambria" w:eastAsia="Times New Roman" w:cs="Calibri"/>
          <w:lang w:eastAsia="zh-CN"/>
          <w14:ligatures w14:val="none"/>
        </w:rPr>
      </w:pPr>
      <w:r>
        <w:rPr>
          <w:rFonts w:ascii="Cambria" w:hAnsi="Cambria" w:eastAsia="Times New Roman" w:cs="Calibri"/>
          <w:lang w:eastAsia="zh-CN"/>
          <w14:ligatures w14:val="none"/>
        </w:rPr>
        <w:t>A medida é indispensável para garantir a continuidade dos serviços públicos essenciais, especialmente aqueles relacionados à infraestrutura viária.</w:t>
      </w:r>
    </w:p>
    <w:p w14:paraId="7326826A">
      <w:pPr>
        <w:suppressAutoHyphens/>
        <w:spacing w:after="0" w:line="100" w:lineRule="atLeast"/>
        <w:jc w:val="both"/>
        <w:rPr>
          <w:rFonts w:ascii="Cambria" w:hAnsi="Cambria" w:eastAsia="Times New Roman" w:cs="Calibri"/>
          <w:b/>
          <w:color w:val="000000"/>
          <w:lang w:eastAsia="zh-CN"/>
          <w14:ligatures w14:val="none"/>
        </w:rPr>
      </w:pPr>
    </w:p>
    <w:p w14:paraId="756EDD59">
      <w:pPr>
        <w:shd w:val="clear" w:color="auto" w:fill="B4C6E7"/>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00" w:lineRule="atLeast"/>
        <w:rPr>
          <w:rFonts w:ascii="Cambria" w:hAnsi="Cambria" w:eastAsia="Times New Roman" w:cs="Calibri"/>
          <w:lang w:eastAsia="zh-CN"/>
          <w14:ligatures w14:val="none"/>
        </w:rPr>
      </w:pPr>
      <w:r>
        <w:rPr>
          <w:rFonts w:ascii="Cambria" w:hAnsi="Cambria" w:eastAsia="Times New Roman" w:cs="Calibri"/>
          <w:b/>
          <w:color w:val="000000"/>
          <w:lang w:eastAsia="zh-CN"/>
          <w14:ligatures w14:val="none"/>
        </w:rPr>
        <w:t>3</w:t>
      </w:r>
      <w:r>
        <w:rPr>
          <w:rFonts w:ascii="Cambria" w:hAnsi="Cambria" w:eastAsia="Times New Roman" w:cs="Calibri"/>
          <w:b/>
          <w:color w:val="000000"/>
          <w:shd w:val="clear" w:color="auto" w:fill="B4C6E7"/>
          <w:lang w:eastAsia="zh-CN"/>
          <w14:ligatures w14:val="none"/>
        </w:rPr>
        <w:t>. DESCRIÇÃO DOS REQUISITOS DE CONTRATAÇÃO/AQUISIÇÃO</w:t>
      </w:r>
    </w:p>
    <w:p w14:paraId="0193C452">
      <w:pPr>
        <w:suppressAutoHyphens/>
        <w:spacing w:after="0" w:line="240" w:lineRule="auto"/>
        <w:jc w:val="both"/>
        <w:rPr>
          <w:rFonts w:ascii="Cambria" w:hAnsi="Cambria" w:eastAsia="Times New Roman" w:cs="Calibri"/>
          <w:lang w:eastAsia="zh-CN"/>
          <w14:ligatures w14:val="none"/>
        </w:rPr>
      </w:pPr>
    </w:p>
    <w:p w14:paraId="4BE390B4">
      <w:pPr>
        <w:suppressAutoHyphens/>
        <w:spacing w:after="0" w:line="240" w:lineRule="auto"/>
        <w:jc w:val="both"/>
        <w:rPr>
          <w:rFonts w:ascii="Cambria" w:hAnsi="Cambria" w:eastAsia="Times New Roman" w:cs="Calibri"/>
          <w:lang w:eastAsia="zh-CN"/>
          <w14:ligatures w14:val="none"/>
        </w:rPr>
      </w:pPr>
      <w:r>
        <w:rPr>
          <w:rFonts w:ascii="Cambria" w:hAnsi="Cambria" w:eastAsia="Times New Roman" w:cs="Calibri"/>
          <w:lang w:eastAsia="zh-CN"/>
          <w14:ligatures w14:val="none"/>
        </w:rPr>
        <w:t>A contratação deverá contemplar:</w:t>
      </w:r>
    </w:p>
    <w:p w14:paraId="74332374">
      <w:pPr>
        <w:suppressAutoHyphens/>
        <w:spacing w:after="0" w:line="240" w:lineRule="auto"/>
        <w:jc w:val="both"/>
        <w:rPr>
          <w:rFonts w:ascii="Cambria" w:hAnsi="Cambria" w:eastAsia="Times New Roman" w:cs="Calibri"/>
          <w:lang w:eastAsia="zh-CN"/>
          <w14:ligatures w14:val="none"/>
        </w:rPr>
      </w:pPr>
    </w:p>
    <w:p w14:paraId="68E3FFB7">
      <w:pPr>
        <w:suppressAutoHyphens/>
        <w:spacing w:after="0" w:line="240" w:lineRule="auto"/>
        <w:jc w:val="both"/>
        <w:rPr>
          <w:rFonts w:ascii="Cambria" w:hAnsi="Cambria" w:eastAsia="Times New Roman" w:cs="Calibri"/>
          <w:lang w:eastAsia="zh-CN"/>
          <w14:ligatures w14:val="none"/>
        </w:rPr>
      </w:pPr>
      <w:r>
        <w:rPr>
          <w:rFonts w:ascii="Cambria" w:hAnsi="Cambria" w:eastAsia="Times New Roman" w:cs="Calibri"/>
          <w:lang w:eastAsia="zh-CN"/>
          <w14:ligatures w14:val="none"/>
        </w:rPr>
        <w:t>Fornecimento de peças novas, compatíveis e adequadas ao equipamento;</w:t>
      </w:r>
    </w:p>
    <w:p w14:paraId="0DD602F3">
      <w:pPr>
        <w:suppressAutoHyphens/>
        <w:spacing w:after="0" w:line="240" w:lineRule="auto"/>
        <w:jc w:val="both"/>
        <w:rPr>
          <w:rFonts w:ascii="Cambria" w:hAnsi="Cambria" w:eastAsia="Times New Roman" w:cs="Calibri"/>
          <w:lang w:eastAsia="zh-CN"/>
          <w14:ligatures w14:val="none"/>
        </w:rPr>
      </w:pPr>
      <w:r>
        <w:rPr>
          <w:rFonts w:ascii="Cambria" w:hAnsi="Cambria" w:eastAsia="Times New Roman" w:cs="Calibri"/>
          <w:lang w:eastAsia="zh-CN"/>
          <w14:ligatures w14:val="none"/>
        </w:rPr>
        <w:t>Execução de serviços especializados de desmontagem, substituição, montagem e testes;</w:t>
      </w:r>
    </w:p>
    <w:p w14:paraId="663BD43B">
      <w:pPr>
        <w:suppressAutoHyphens/>
        <w:spacing w:after="0" w:line="240" w:lineRule="auto"/>
        <w:jc w:val="both"/>
        <w:rPr>
          <w:rFonts w:ascii="Cambria" w:hAnsi="Cambria" w:eastAsia="Times New Roman" w:cs="Calibri"/>
          <w:lang w:eastAsia="zh-CN"/>
          <w14:ligatures w14:val="none"/>
        </w:rPr>
      </w:pPr>
      <w:r>
        <w:rPr>
          <w:rFonts w:ascii="Cambria" w:hAnsi="Cambria" w:eastAsia="Times New Roman" w:cs="Calibri"/>
          <w:lang w:eastAsia="zh-CN"/>
          <w14:ligatures w14:val="none"/>
        </w:rPr>
        <w:t>Garantia dos serviços e peças aplicadas;</w:t>
      </w:r>
    </w:p>
    <w:p w14:paraId="2049BEDE">
      <w:pPr>
        <w:suppressAutoHyphens/>
        <w:spacing w:after="0" w:line="240" w:lineRule="auto"/>
        <w:jc w:val="both"/>
        <w:rPr>
          <w:rFonts w:ascii="Cambria" w:hAnsi="Cambria" w:eastAsia="Times New Roman" w:cs="Calibri"/>
          <w:lang w:eastAsia="zh-CN"/>
          <w14:ligatures w14:val="none"/>
        </w:rPr>
      </w:pPr>
      <w:r>
        <w:rPr>
          <w:rFonts w:ascii="Cambria" w:hAnsi="Cambria" w:eastAsia="Times New Roman" w:cs="Calibri"/>
          <w:lang w:eastAsia="zh-CN"/>
          <w14:ligatures w14:val="none"/>
        </w:rPr>
        <w:t>Comprovação de habilitação jurídica, fiscal e técnica, nos termos do art. 62 da Lei nº 14.133/2021.</w:t>
      </w:r>
    </w:p>
    <w:p w14:paraId="482BFF8C">
      <w:pPr>
        <w:suppressAutoHyphens/>
        <w:spacing w:after="0" w:line="240" w:lineRule="auto"/>
        <w:jc w:val="both"/>
        <w:rPr>
          <w:rFonts w:ascii="Cambria" w:hAnsi="Cambria" w:eastAsia="Times New Roman" w:cs="Calibri"/>
          <w:lang w:eastAsia="zh-CN"/>
          <w14:ligatures w14:val="none"/>
        </w:rPr>
      </w:pPr>
    </w:p>
    <w:p w14:paraId="5AF780D7">
      <w:pPr>
        <w:suppressAutoHyphens/>
        <w:spacing w:after="0" w:line="240" w:lineRule="auto"/>
        <w:jc w:val="both"/>
        <w:rPr>
          <w:rFonts w:ascii="Cambria" w:hAnsi="Cambria" w:eastAsia="Times New Roman" w:cs="Calibri"/>
          <w:lang w:eastAsia="zh-CN"/>
          <w14:ligatures w14:val="none"/>
        </w:rPr>
      </w:pPr>
      <w:r>
        <w:rPr>
          <w:rFonts w:ascii="Cambria" w:hAnsi="Cambria" w:eastAsia="Times New Roman" w:cs="Calibri"/>
          <w:lang w:eastAsia="zh-CN"/>
          <w14:ligatures w14:val="none"/>
        </w:rPr>
        <w:t>A presente contratação poderá ser realizada por dispensa de licitação, nos termos do art. 75 da Lei nº 14.133/2021, desde que atendidos os requisitos legais.</w:t>
      </w:r>
    </w:p>
    <w:p w14:paraId="64168FEB">
      <w:pPr>
        <w:suppressAutoHyphens/>
        <w:spacing w:after="0" w:line="240" w:lineRule="auto"/>
        <w:jc w:val="both"/>
        <w:rPr>
          <w:rFonts w:ascii="Cambria" w:hAnsi="Cambria" w:eastAsia="Times New Roman" w:cs="Calibri"/>
          <w:lang w:eastAsia="zh-CN"/>
          <w14:ligatures w14:val="none"/>
        </w:rPr>
      </w:pPr>
    </w:p>
    <w:p w14:paraId="3680B143">
      <w:pPr>
        <w:suppressAutoHyphens/>
        <w:spacing w:after="0" w:line="240" w:lineRule="auto"/>
        <w:jc w:val="both"/>
        <w:rPr>
          <w:rFonts w:ascii="Cambria" w:hAnsi="Cambria" w:eastAsia="Times New Roman" w:cs="Calibri"/>
          <w:lang w:eastAsia="zh-CN"/>
          <w14:ligatures w14:val="none"/>
        </w:rPr>
      </w:pPr>
      <w:r>
        <w:rPr>
          <w:rFonts w:ascii="Cambria" w:hAnsi="Cambria" w:eastAsia="Times New Roman" w:cs="Calibri"/>
          <w:lang w:eastAsia="zh-CN"/>
          <w14:ligatures w14:val="none"/>
        </w:rPr>
        <w:t>Contudo, ressalta-se que serviços de manutenção de frota devem ser preferencialmente planejados e contratados por meio de procedimento licitatório, como registro de preços ou credenciamento, conforme arts. 40 e 79 da referida lei, sendo a dispensa medida excepcional.</w:t>
      </w:r>
    </w:p>
    <w:p w14:paraId="13FABEA7">
      <w:pPr>
        <w:suppressAutoHyphens/>
        <w:spacing w:after="0" w:line="240" w:lineRule="auto"/>
        <w:jc w:val="both"/>
        <w:rPr>
          <w:rFonts w:ascii="Cambria" w:hAnsi="Cambria" w:eastAsia="Times New Roman" w:cs="Calibri"/>
          <w:lang w:eastAsia="zh-CN"/>
          <w14:ligatures w14:val="none"/>
        </w:rPr>
      </w:pPr>
    </w:p>
    <w:p w14:paraId="021D1B6B">
      <w:pPr>
        <w:shd w:val="clear" w:color="auto" w:fill="BDD6EE"/>
        <w:suppressAutoHyphens/>
        <w:spacing w:after="0" w:line="240" w:lineRule="auto"/>
        <w:rPr>
          <w:rFonts w:ascii="Cambria" w:hAnsi="Cambria" w:eastAsia="Times New Roman" w:cs="Calibri"/>
          <w:lang w:eastAsia="zh-CN"/>
          <w14:ligatures w14:val="none"/>
        </w:rPr>
      </w:pPr>
      <w:r>
        <w:rPr>
          <w:rFonts w:ascii="Cambria" w:hAnsi="Cambria" w:eastAsia="Times New Roman" w:cs="Calibri"/>
          <w:b/>
          <w:color w:val="000000"/>
          <w:shd w:val="clear" w:color="auto" w:fill="D9E2F3"/>
          <w:lang w:eastAsia="zh-CN"/>
          <w14:ligatures w14:val="none"/>
        </w:rPr>
        <w:t>4. ESTIMATIVA DE QUANTIDADES E VALOR DA CONTRATAÇÃO/AQUISIÇÃO</w:t>
      </w:r>
    </w:p>
    <w:p w14:paraId="364ADA69">
      <w:pPr>
        <w:suppressAutoHyphens/>
        <w:spacing w:after="0" w:line="240" w:lineRule="auto"/>
        <w:jc w:val="both"/>
        <w:rPr>
          <w:rFonts w:ascii="Cambria" w:hAnsi="Cambria" w:eastAsia="Times New Roman" w:cs="Calibri"/>
          <w:lang w:eastAsia="zh-CN"/>
          <w14:ligatures w14:val="none"/>
        </w:rPr>
      </w:pPr>
    </w:p>
    <w:p w14:paraId="1C5255F4">
      <w:pPr>
        <w:suppressAutoHyphens/>
        <w:spacing w:after="0" w:line="240" w:lineRule="auto"/>
        <w:jc w:val="both"/>
        <w:rPr>
          <w:rFonts w:ascii="Cambria" w:hAnsi="Cambria" w:eastAsia="Times New Roman" w:cs="Calibri"/>
          <w:lang w:eastAsia="zh-CN"/>
          <w14:ligatures w14:val="none"/>
        </w:rPr>
      </w:pPr>
      <w:r>
        <w:rPr>
          <w:rFonts w:ascii="Cambria" w:hAnsi="Cambria" w:eastAsia="Times New Roman" w:cs="Calibri"/>
          <w:lang w:eastAsia="zh-CN"/>
          <w14:ligatures w14:val="none"/>
        </w:rPr>
        <w:t>A estimativa da contratação foi elaborada com base em orçamento apresentado por empresa especializada, contemplando o fornecimento de peças e a execução de serviços necessários para a manutenção corretiva da motoniveladora CATERPILLAR 120K.</w:t>
      </w:r>
    </w:p>
    <w:p w14:paraId="6AFBCDB0">
      <w:pPr>
        <w:suppressAutoHyphens/>
        <w:spacing w:after="0" w:line="240" w:lineRule="auto"/>
        <w:jc w:val="both"/>
        <w:rPr>
          <w:rFonts w:ascii="Cambria" w:hAnsi="Cambria" w:eastAsia="Times New Roman" w:cs="Calibri"/>
          <w:lang w:eastAsia="zh-CN"/>
          <w14:ligatures w14:val="none"/>
        </w:rPr>
      </w:pPr>
    </w:p>
    <w:p w14:paraId="55769A2E">
      <w:pPr>
        <w:spacing w:before="100" w:beforeAutospacing="1" w:after="100" w:afterAutospacing="1" w:line="240" w:lineRule="auto"/>
        <w:outlineLvl w:val="2"/>
        <w:rPr>
          <w:rFonts w:ascii="Cambria" w:hAnsi="Cambria" w:eastAsia="Times New Roman" w:cs="Times New Roman"/>
          <w:b/>
          <w:bCs/>
          <w:kern w:val="0"/>
          <w:lang w:eastAsia="pt-BR"/>
          <w14:ligatures w14:val="none"/>
        </w:rPr>
      </w:pPr>
      <w:r>
        <w:rPr>
          <w:rFonts w:ascii="Cambria" w:hAnsi="Cambria" w:eastAsia="Times New Roman" w:cs="Times New Roman"/>
          <w:b/>
          <w:bCs/>
          <w:kern w:val="0"/>
          <w:lang w:eastAsia="pt-BR"/>
          <w14:ligatures w14:val="none"/>
        </w:rPr>
        <w:t>4.1 – PEÇAS</w:t>
      </w:r>
    </w:p>
    <w:tbl>
      <w:tblPr>
        <w:tblStyle w:val="12"/>
        <w:tblW w:w="0" w:type="auto"/>
        <w:tblCellSpacing w:w="15" w:type="dxa"/>
        <w:tblInd w:w="0" w:type="dxa"/>
        <w:tblLayout w:type="autofit"/>
        <w:tblCellMar>
          <w:top w:w="15" w:type="dxa"/>
          <w:left w:w="15" w:type="dxa"/>
          <w:bottom w:w="15" w:type="dxa"/>
          <w:right w:w="15" w:type="dxa"/>
        </w:tblCellMar>
      </w:tblPr>
      <w:tblGrid>
        <w:gridCol w:w="606"/>
        <w:gridCol w:w="509"/>
        <w:gridCol w:w="1792"/>
        <w:gridCol w:w="2339"/>
        <w:gridCol w:w="2018"/>
      </w:tblGrid>
      <w:tr w14:paraId="0B7D61C5">
        <w:tblPrEx>
          <w:tblCellMar>
            <w:top w:w="15" w:type="dxa"/>
            <w:left w:w="15" w:type="dxa"/>
            <w:bottom w:w="15" w:type="dxa"/>
            <w:right w:w="15" w:type="dxa"/>
          </w:tblCellMar>
        </w:tblPrEx>
        <w:trPr>
          <w:tblHeader/>
          <w:tblCellSpacing w:w="15" w:type="dxa"/>
        </w:trPr>
        <w:tc>
          <w:tcPr>
            <w:tcW w:w="0" w:type="auto"/>
            <w:vAlign w:val="center"/>
          </w:tcPr>
          <w:p w14:paraId="4205B5DF">
            <w:pPr>
              <w:spacing w:after="0" w:line="240" w:lineRule="auto"/>
              <w:jc w:val="center"/>
              <w:rPr>
                <w:rFonts w:ascii="Cambria" w:hAnsi="Cambria" w:eastAsia="Times New Roman" w:cs="Times New Roman"/>
                <w:b/>
                <w:bCs/>
                <w:kern w:val="0"/>
                <w:lang w:eastAsia="pt-BR"/>
                <w14:ligatures w14:val="none"/>
              </w:rPr>
            </w:pPr>
            <w:r>
              <w:rPr>
                <w:rFonts w:ascii="Cambria" w:hAnsi="Cambria" w:eastAsia="Times New Roman" w:cs="Times New Roman"/>
                <w:b/>
                <w:bCs/>
                <w:kern w:val="0"/>
                <w:lang w:eastAsia="pt-BR"/>
                <w14:ligatures w14:val="none"/>
              </w:rPr>
              <w:t>ITEM</w:t>
            </w:r>
          </w:p>
        </w:tc>
        <w:tc>
          <w:tcPr>
            <w:tcW w:w="0" w:type="auto"/>
            <w:vAlign w:val="center"/>
          </w:tcPr>
          <w:p w14:paraId="701EF9B6">
            <w:pPr>
              <w:spacing w:after="0" w:line="240" w:lineRule="auto"/>
              <w:jc w:val="center"/>
              <w:rPr>
                <w:rFonts w:ascii="Cambria" w:hAnsi="Cambria" w:eastAsia="Times New Roman" w:cs="Times New Roman"/>
                <w:b/>
                <w:bCs/>
                <w:kern w:val="0"/>
                <w:lang w:eastAsia="pt-BR"/>
                <w14:ligatures w14:val="none"/>
              </w:rPr>
            </w:pPr>
            <w:r>
              <w:rPr>
                <w:rFonts w:ascii="Cambria" w:hAnsi="Cambria" w:eastAsia="Times New Roman" w:cs="Times New Roman"/>
                <w:b/>
                <w:bCs/>
                <w:kern w:val="0"/>
                <w:lang w:eastAsia="pt-BR"/>
                <w14:ligatures w14:val="none"/>
              </w:rPr>
              <w:t>QTD</w:t>
            </w:r>
          </w:p>
        </w:tc>
        <w:tc>
          <w:tcPr>
            <w:tcW w:w="0" w:type="auto"/>
            <w:vAlign w:val="center"/>
          </w:tcPr>
          <w:p w14:paraId="6F5EA2D1">
            <w:pPr>
              <w:spacing w:after="0" w:line="240" w:lineRule="auto"/>
              <w:jc w:val="center"/>
              <w:rPr>
                <w:rFonts w:ascii="Cambria" w:hAnsi="Cambria" w:eastAsia="Times New Roman" w:cs="Times New Roman"/>
                <w:b/>
                <w:bCs/>
                <w:kern w:val="0"/>
                <w:lang w:eastAsia="pt-BR"/>
                <w14:ligatures w14:val="none"/>
              </w:rPr>
            </w:pPr>
            <w:r>
              <w:rPr>
                <w:rFonts w:ascii="Cambria" w:hAnsi="Cambria" w:eastAsia="Times New Roman" w:cs="Times New Roman"/>
                <w:b/>
                <w:bCs/>
                <w:kern w:val="0"/>
                <w:lang w:eastAsia="pt-BR"/>
                <w14:ligatures w14:val="none"/>
              </w:rPr>
              <w:t>DESCRIÇÃO</w:t>
            </w:r>
          </w:p>
        </w:tc>
        <w:tc>
          <w:tcPr>
            <w:tcW w:w="0" w:type="auto"/>
            <w:vAlign w:val="center"/>
          </w:tcPr>
          <w:p w14:paraId="1C9914C1">
            <w:pPr>
              <w:spacing w:after="0" w:line="240" w:lineRule="auto"/>
              <w:jc w:val="center"/>
              <w:rPr>
                <w:rFonts w:ascii="Cambria" w:hAnsi="Cambria" w:eastAsia="Times New Roman" w:cs="Times New Roman"/>
                <w:b/>
                <w:bCs/>
                <w:kern w:val="0"/>
                <w:lang w:eastAsia="pt-BR"/>
                <w14:ligatures w14:val="none"/>
              </w:rPr>
            </w:pPr>
            <w:r>
              <w:rPr>
                <w:rFonts w:ascii="Cambria" w:hAnsi="Cambria" w:eastAsia="Times New Roman" w:cs="Times New Roman"/>
                <w:b/>
                <w:bCs/>
                <w:kern w:val="0"/>
                <w:lang w:eastAsia="pt-BR"/>
                <w14:ligatures w14:val="none"/>
              </w:rPr>
              <w:t>VALOR UNITÁRIO (R$)</w:t>
            </w:r>
          </w:p>
        </w:tc>
        <w:tc>
          <w:tcPr>
            <w:tcW w:w="0" w:type="auto"/>
            <w:vAlign w:val="center"/>
          </w:tcPr>
          <w:p w14:paraId="37BDE816">
            <w:pPr>
              <w:spacing w:after="0" w:line="240" w:lineRule="auto"/>
              <w:jc w:val="center"/>
              <w:rPr>
                <w:rFonts w:ascii="Cambria" w:hAnsi="Cambria" w:eastAsia="Times New Roman" w:cs="Times New Roman"/>
                <w:b/>
                <w:bCs/>
                <w:kern w:val="0"/>
                <w:lang w:eastAsia="pt-BR"/>
                <w14:ligatures w14:val="none"/>
              </w:rPr>
            </w:pPr>
            <w:r>
              <w:rPr>
                <w:rFonts w:ascii="Cambria" w:hAnsi="Cambria" w:eastAsia="Times New Roman" w:cs="Times New Roman"/>
                <w:b/>
                <w:bCs/>
                <w:kern w:val="0"/>
                <w:lang w:eastAsia="pt-BR"/>
                <w14:ligatures w14:val="none"/>
              </w:rPr>
              <w:t>VALOR TOTAL (R$)</w:t>
            </w:r>
          </w:p>
        </w:tc>
      </w:tr>
      <w:tr w14:paraId="17F1B8FF">
        <w:tblPrEx>
          <w:tblCellMar>
            <w:top w:w="15" w:type="dxa"/>
            <w:left w:w="15" w:type="dxa"/>
            <w:bottom w:w="15" w:type="dxa"/>
            <w:right w:w="15" w:type="dxa"/>
          </w:tblCellMar>
        </w:tblPrEx>
        <w:trPr>
          <w:tblCellSpacing w:w="15" w:type="dxa"/>
        </w:trPr>
        <w:tc>
          <w:tcPr>
            <w:tcW w:w="0" w:type="auto"/>
            <w:vAlign w:val="center"/>
          </w:tcPr>
          <w:p w14:paraId="641C8ADF">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1</w:t>
            </w:r>
          </w:p>
        </w:tc>
        <w:tc>
          <w:tcPr>
            <w:tcW w:w="0" w:type="auto"/>
            <w:vAlign w:val="center"/>
          </w:tcPr>
          <w:p w14:paraId="360871B7">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1</w:t>
            </w:r>
          </w:p>
        </w:tc>
        <w:tc>
          <w:tcPr>
            <w:tcW w:w="0" w:type="auto"/>
            <w:vAlign w:val="center"/>
          </w:tcPr>
          <w:p w14:paraId="7CFF581D">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Retentor duo cone</w:t>
            </w:r>
          </w:p>
        </w:tc>
        <w:tc>
          <w:tcPr>
            <w:tcW w:w="0" w:type="auto"/>
            <w:vAlign w:val="center"/>
          </w:tcPr>
          <w:p w14:paraId="6AE43A2F">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280,50</w:t>
            </w:r>
          </w:p>
        </w:tc>
        <w:tc>
          <w:tcPr>
            <w:tcW w:w="0" w:type="auto"/>
            <w:vAlign w:val="center"/>
          </w:tcPr>
          <w:p w14:paraId="5098FB69">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280,50</w:t>
            </w:r>
          </w:p>
        </w:tc>
      </w:tr>
      <w:tr w14:paraId="2C6FEC25">
        <w:tblPrEx>
          <w:tblCellMar>
            <w:top w:w="15" w:type="dxa"/>
            <w:left w:w="15" w:type="dxa"/>
            <w:bottom w:w="15" w:type="dxa"/>
            <w:right w:w="15" w:type="dxa"/>
          </w:tblCellMar>
        </w:tblPrEx>
        <w:trPr>
          <w:tblCellSpacing w:w="15" w:type="dxa"/>
        </w:trPr>
        <w:tc>
          <w:tcPr>
            <w:tcW w:w="0" w:type="auto"/>
            <w:vAlign w:val="center"/>
          </w:tcPr>
          <w:p w14:paraId="2F52DDEA">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2</w:t>
            </w:r>
          </w:p>
        </w:tc>
        <w:tc>
          <w:tcPr>
            <w:tcW w:w="0" w:type="auto"/>
            <w:vAlign w:val="center"/>
          </w:tcPr>
          <w:p w14:paraId="1918143B">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1</w:t>
            </w:r>
          </w:p>
        </w:tc>
        <w:tc>
          <w:tcPr>
            <w:tcW w:w="0" w:type="auto"/>
            <w:vAlign w:val="center"/>
          </w:tcPr>
          <w:p w14:paraId="4BCCD414">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Capa 3241</w:t>
            </w:r>
          </w:p>
        </w:tc>
        <w:tc>
          <w:tcPr>
            <w:tcW w:w="0" w:type="auto"/>
            <w:vAlign w:val="center"/>
          </w:tcPr>
          <w:p w14:paraId="0BF0E965">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204,00</w:t>
            </w:r>
          </w:p>
        </w:tc>
        <w:tc>
          <w:tcPr>
            <w:tcW w:w="0" w:type="auto"/>
            <w:vAlign w:val="center"/>
          </w:tcPr>
          <w:p w14:paraId="34369146">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204,00</w:t>
            </w:r>
          </w:p>
        </w:tc>
      </w:tr>
      <w:tr w14:paraId="69FAD13F">
        <w:tblPrEx>
          <w:tblCellMar>
            <w:top w:w="15" w:type="dxa"/>
            <w:left w:w="15" w:type="dxa"/>
            <w:bottom w:w="15" w:type="dxa"/>
            <w:right w:w="15" w:type="dxa"/>
          </w:tblCellMar>
        </w:tblPrEx>
        <w:trPr>
          <w:tblCellSpacing w:w="15" w:type="dxa"/>
        </w:trPr>
        <w:tc>
          <w:tcPr>
            <w:tcW w:w="0" w:type="auto"/>
            <w:vAlign w:val="center"/>
          </w:tcPr>
          <w:p w14:paraId="5CC30661">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3</w:t>
            </w:r>
          </w:p>
        </w:tc>
        <w:tc>
          <w:tcPr>
            <w:tcW w:w="0" w:type="auto"/>
            <w:vAlign w:val="center"/>
          </w:tcPr>
          <w:p w14:paraId="40D8A742">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1</w:t>
            </w:r>
          </w:p>
        </w:tc>
        <w:tc>
          <w:tcPr>
            <w:tcW w:w="0" w:type="auto"/>
            <w:vAlign w:val="center"/>
          </w:tcPr>
          <w:p w14:paraId="529557A8">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Cone 3242</w:t>
            </w:r>
          </w:p>
        </w:tc>
        <w:tc>
          <w:tcPr>
            <w:tcW w:w="0" w:type="auto"/>
            <w:vAlign w:val="center"/>
          </w:tcPr>
          <w:p w14:paraId="4650A937">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544,00</w:t>
            </w:r>
          </w:p>
        </w:tc>
        <w:tc>
          <w:tcPr>
            <w:tcW w:w="0" w:type="auto"/>
            <w:vAlign w:val="center"/>
          </w:tcPr>
          <w:p w14:paraId="1F786D03">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544,00</w:t>
            </w:r>
          </w:p>
        </w:tc>
      </w:tr>
      <w:tr w14:paraId="4A6BB202">
        <w:tblPrEx>
          <w:tblCellMar>
            <w:top w:w="15" w:type="dxa"/>
            <w:left w:w="15" w:type="dxa"/>
            <w:bottom w:w="15" w:type="dxa"/>
            <w:right w:w="15" w:type="dxa"/>
          </w:tblCellMar>
        </w:tblPrEx>
        <w:trPr>
          <w:tblCellSpacing w:w="15" w:type="dxa"/>
        </w:trPr>
        <w:tc>
          <w:tcPr>
            <w:tcW w:w="0" w:type="auto"/>
            <w:vAlign w:val="center"/>
          </w:tcPr>
          <w:p w14:paraId="563A50D3">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4</w:t>
            </w:r>
          </w:p>
        </w:tc>
        <w:tc>
          <w:tcPr>
            <w:tcW w:w="0" w:type="auto"/>
            <w:vAlign w:val="center"/>
          </w:tcPr>
          <w:p w14:paraId="163BA0EC">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1</w:t>
            </w:r>
          </w:p>
        </w:tc>
        <w:tc>
          <w:tcPr>
            <w:tcW w:w="0" w:type="auto"/>
            <w:vAlign w:val="center"/>
          </w:tcPr>
          <w:p w14:paraId="0899314A">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Capa 2138</w:t>
            </w:r>
          </w:p>
        </w:tc>
        <w:tc>
          <w:tcPr>
            <w:tcW w:w="0" w:type="auto"/>
            <w:vAlign w:val="center"/>
          </w:tcPr>
          <w:p w14:paraId="78049628">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255,00</w:t>
            </w:r>
          </w:p>
        </w:tc>
        <w:tc>
          <w:tcPr>
            <w:tcW w:w="0" w:type="auto"/>
            <w:vAlign w:val="center"/>
          </w:tcPr>
          <w:p w14:paraId="63017829">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255,00</w:t>
            </w:r>
          </w:p>
        </w:tc>
      </w:tr>
      <w:tr w14:paraId="7BFAB8F9">
        <w:tblPrEx>
          <w:tblCellMar>
            <w:top w:w="15" w:type="dxa"/>
            <w:left w:w="15" w:type="dxa"/>
            <w:bottom w:w="15" w:type="dxa"/>
            <w:right w:w="15" w:type="dxa"/>
          </w:tblCellMar>
        </w:tblPrEx>
        <w:trPr>
          <w:tblCellSpacing w:w="15" w:type="dxa"/>
        </w:trPr>
        <w:tc>
          <w:tcPr>
            <w:tcW w:w="0" w:type="auto"/>
            <w:vAlign w:val="center"/>
          </w:tcPr>
          <w:p w14:paraId="2098CCE5">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5</w:t>
            </w:r>
          </w:p>
        </w:tc>
        <w:tc>
          <w:tcPr>
            <w:tcW w:w="0" w:type="auto"/>
            <w:vAlign w:val="center"/>
          </w:tcPr>
          <w:p w14:paraId="20F942B0">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1</w:t>
            </w:r>
          </w:p>
        </w:tc>
        <w:tc>
          <w:tcPr>
            <w:tcW w:w="0" w:type="auto"/>
            <w:vAlign w:val="center"/>
          </w:tcPr>
          <w:p w14:paraId="15801715">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Cone 2139</w:t>
            </w:r>
          </w:p>
        </w:tc>
        <w:tc>
          <w:tcPr>
            <w:tcW w:w="0" w:type="auto"/>
            <w:vAlign w:val="center"/>
          </w:tcPr>
          <w:p w14:paraId="6E023C7E">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399,00</w:t>
            </w:r>
          </w:p>
        </w:tc>
        <w:tc>
          <w:tcPr>
            <w:tcW w:w="0" w:type="auto"/>
            <w:vAlign w:val="center"/>
          </w:tcPr>
          <w:p w14:paraId="66D7B2FE">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399,00</w:t>
            </w:r>
          </w:p>
        </w:tc>
      </w:tr>
      <w:tr w14:paraId="07D709D0">
        <w:tblPrEx>
          <w:tblCellMar>
            <w:top w:w="15" w:type="dxa"/>
            <w:left w:w="15" w:type="dxa"/>
            <w:bottom w:w="15" w:type="dxa"/>
            <w:right w:w="15" w:type="dxa"/>
          </w:tblCellMar>
        </w:tblPrEx>
        <w:trPr>
          <w:tblCellSpacing w:w="15" w:type="dxa"/>
        </w:trPr>
        <w:tc>
          <w:tcPr>
            <w:tcW w:w="0" w:type="auto"/>
            <w:vAlign w:val="center"/>
          </w:tcPr>
          <w:p w14:paraId="5C972E94">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6</w:t>
            </w:r>
          </w:p>
        </w:tc>
        <w:tc>
          <w:tcPr>
            <w:tcW w:w="0" w:type="auto"/>
            <w:vAlign w:val="center"/>
          </w:tcPr>
          <w:p w14:paraId="2EE2C300">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3</w:t>
            </w:r>
          </w:p>
        </w:tc>
        <w:tc>
          <w:tcPr>
            <w:tcW w:w="0" w:type="auto"/>
            <w:vAlign w:val="center"/>
          </w:tcPr>
          <w:p w14:paraId="4C5FABAB">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Parafuso</w:t>
            </w:r>
          </w:p>
        </w:tc>
        <w:tc>
          <w:tcPr>
            <w:tcW w:w="0" w:type="auto"/>
            <w:vAlign w:val="center"/>
          </w:tcPr>
          <w:p w14:paraId="0D49A2B4">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2,80</w:t>
            </w:r>
          </w:p>
        </w:tc>
        <w:tc>
          <w:tcPr>
            <w:tcW w:w="0" w:type="auto"/>
            <w:vAlign w:val="center"/>
          </w:tcPr>
          <w:p w14:paraId="5CF3963A">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8,40</w:t>
            </w:r>
          </w:p>
        </w:tc>
      </w:tr>
      <w:tr w14:paraId="391638DB">
        <w:tblPrEx>
          <w:tblCellMar>
            <w:top w:w="15" w:type="dxa"/>
            <w:left w:w="15" w:type="dxa"/>
            <w:bottom w:w="15" w:type="dxa"/>
            <w:right w:w="15" w:type="dxa"/>
          </w:tblCellMar>
        </w:tblPrEx>
        <w:trPr>
          <w:tblCellSpacing w:w="15" w:type="dxa"/>
        </w:trPr>
        <w:tc>
          <w:tcPr>
            <w:tcW w:w="0" w:type="auto"/>
            <w:vAlign w:val="center"/>
          </w:tcPr>
          <w:p w14:paraId="5FA022C3">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7</w:t>
            </w:r>
          </w:p>
        </w:tc>
        <w:tc>
          <w:tcPr>
            <w:tcW w:w="0" w:type="auto"/>
            <w:vAlign w:val="center"/>
          </w:tcPr>
          <w:p w14:paraId="1D628781">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1</w:t>
            </w:r>
          </w:p>
        </w:tc>
        <w:tc>
          <w:tcPr>
            <w:tcW w:w="0" w:type="auto"/>
            <w:vAlign w:val="center"/>
          </w:tcPr>
          <w:p w14:paraId="67F53295">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Ponta de eixo</w:t>
            </w:r>
          </w:p>
        </w:tc>
        <w:tc>
          <w:tcPr>
            <w:tcW w:w="0" w:type="auto"/>
            <w:vAlign w:val="center"/>
          </w:tcPr>
          <w:p w14:paraId="44A26C59">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4.500,00</w:t>
            </w:r>
          </w:p>
        </w:tc>
        <w:tc>
          <w:tcPr>
            <w:tcW w:w="0" w:type="auto"/>
            <w:vAlign w:val="center"/>
          </w:tcPr>
          <w:p w14:paraId="26237397">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4.500,00</w:t>
            </w:r>
          </w:p>
        </w:tc>
      </w:tr>
      <w:tr w14:paraId="12498068">
        <w:tblPrEx>
          <w:tblCellMar>
            <w:top w:w="15" w:type="dxa"/>
            <w:left w:w="15" w:type="dxa"/>
            <w:bottom w:w="15" w:type="dxa"/>
            <w:right w:w="15" w:type="dxa"/>
          </w:tblCellMar>
        </w:tblPrEx>
        <w:trPr>
          <w:tblCellSpacing w:w="15" w:type="dxa"/>
        </w:trPr>
        <w:tc>
          <w:tcPr>
            <w:tcW w:w="0" w:type="auto"/>
            <w:vAlign w:val="center"/>
          </w:tcPr>
          <w:p w14:paraId="248FEA99">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8</w:t>
            </w:r>
          </w:p>
        </w:tc>
        <w:tc>
          <w:tcPr>
            <w:tcW w:w="0" w:type="auto"/>
            <w:vAlign w:val="center"/>
          </w:tcPr>
          <w:p w14:paraId="4027BC89">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3</w:t>
            </w:r>
          </w:p>
        </w:tc>
        <w:tc>
          <w:tcPr>
            <w:tcW w:w="0" w:type="auto"/>
            <w:vAlign w:val="center"/>
          </w:tcPr>
          <w:p w14:paraId="4F789C26">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Discos de freio</w:t>
            </w:r>
          </w:p>
        </w:tc>
        <w:tc>
          <w:tcPr>
            <w:tcW w:w="0" w:type="auto"/>
            <w:vAlign w:val="center"/>
          </w:tcPr>
          <w:p w14:paraId="610B497A">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121,90</w:t>
            </w:r>
          </w:p>
        </w:tc>
        <w:tc>
          <w:tcPr>
            <w:tcW w:w="0" w:type="auto"/>
            <w:vAlign w:val="center"/>
          </w:tcPr>
          <w:p w14:paraId="090EA7D6">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365,70</w:t>
            </w:r>
          </w:p>
        </w:tc>
      </w:tr>
      <w:tr w14:paraId="66C97EF2">
        <w:tblPrEx>
          <w:tblCellMar>
            <w:top w:w="15" w:type="dxa"/>
            <w:left w:w="15" w:type="dxa"/>
            <w:bottom w:w="15" w:type="dxa"/>
            <w:right w:w="15" w:type="dxa"/>
          </w:tblCellMar>
        </w:tblPrEx>
        <w:trPr>
          <w:tblCellSpacing w:w="15" w:type="dxa"/>
        </w:trPr>
        <w:tc>
          <w:tcPr>
            <w:tcW w:w="0" w:type="auto"/>
            <w:vAlign w:val="center"/>
          </w:tcPr>
          <w:p w14:paraId="28CFCA15">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9</w:t>
            </w:r>
          </w:p>
        </w:tc>
        <w:tc>
          <w:tcPr>
            <w:tcW w:w="0" w:type="auto"/>
            <w:vAlign w:val="center"/>
          </w:tcPr>
          <w:p w14:paraId="4688593A">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1</w:t>
            </w:r>
          </w:p>
        </w:tc>
        <w:tc>
          <w:tcPr>
            <w:tcW w:w="0" w:type="auto"/>
            <w:vAlign w:val="center"/>
          </w:tcPr>
          <w:p w14:paraId="77D3D87D">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Cubo de freio</w:t>
            </w:r>
          </w:p>
        </w:tc>
        <w:tc>
          <w:tcPr>
            <w:tcW w:w="0" w:type="auto"/>
            <w:vAlign w:val="center"/>
          </w:tcPr>
          <w:p w14:paraId="15252C1F">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1.782,50</w:t>
            </w:r>
          </w:p>
        </w:tc>
        <w:tc>
          <w:tcPr>
            <w:tcW w:w="0" w:type="auto"/>
            <w:vAlign w:val="center"/>
          </w:tcPr>
          <w:p w14:paraId="4E1A6CB7">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1.782,50</w:t>
            </w:r>
          </w:p>
        </w:tc>
      </w:tr>
    </w:tbl>
    <w:p w14:paraId="352E3CE5">
      <w:pPr>
        <w:spacing w:before="100" w:beforeAutospacing="1" w:after="100" w:afterAutospacing="1" w:line="240" w:lineRule="auto"/>
        <w:rPr>
          <w:rFonts w:ascii="Cambria" w:hAnsi="Cambria" w:eastAsia="Times New Roman" w:cs="Times New Roman"/>
          <w:b/>
          <w:bCs/>
          <w:kern w:val="0"/>
          <w:lang w:eastAsia="pt-BR"/>
          <w14:ligatures w14:val="none"/>
        </w:rPr>
      </w:pPr>
      <w:r>
        <w:rPr>
          <w:rFonts w:ascii="Cambria" w:hAnsi="Cambria" w:eastAsia="Times New Roman" w:cs="Times New Roman"/>
          <w:b/>
          <w:bCs/>
          <w:kern w:val="0"/>
          <w:lang w:eastAsia="pt-BR"/>
          <w14:ligatures w14:val="none"/>
        </w:rPr>
        <w:t>Valor total das peças: R$ 8.339,10</w:t>
      </w:r>
    </w:p>
    <w:p w14:paraId="10A16513">
      <w:pPr>
        <w:spacing w:before="100" w:beforeAutospacing="1" w:after="100" w:afterAutospacing="1" w:line="240" w:lineRule="auto"/>
        <w:outlineLvl w:val="2"/>
        <w:rPr>
          <w:rFonts w:ascii="Cambria" w:hAnsi="Cambria" w:eastAsia="Times New Roman" w:cs="Times New Roman"/>
          <w:b/>
          <w:bCs/>
          <w:kern w:val="0"/>
          <w:lang w:eastAsia="pt-BR"/>
          <w14:ligatures w14:val="none"/>
        </w:rPr>
      </w:pPr>
      <w:r>
        <w:rPr>
          <w:rFonts w:ascii="Cambria" w:hAnsi="Cambria" w:eastAsia="Times New Roman" w:cs="Times New Roman"/>
          <w:b/>
          <w:bCs/>
          <w:kern w:val="0"/>
          <w:lang w:eastAsia="pt-BR"/>
          <w14:ligatures w14:val="none"/>
        </w:rPr>
        <w:t>4.2 – SERVIÇOS</w:t>
      </w:r>
    </w:p>
    <w:tbl>
      <w:tblPr>
        <w:tblStyle w:val="12"/>
        <w:tblW w:w="0" w:type="auto"/>
        <w:tblCellSpacing w:w="15" w:type="dxa"/>
        <w:tblInd w:w="0" w:type="dxa"/>
        <w:tblLayout w:type="autofit"/>
        <w:tblCellMar>
          <w:top w:w="15" w:type="dxa"/>
          <w:left w:w="15" w:type="dxa"/>
          <w:bottom w:w="15" w:type="dxa"/>
          <w:right w:w="15" w:type="dxa"/>
        </w:tblCellMar>
      </w:tblPr>
      <w:tblGrid>
        <w:gridCol w:w="606"/>
        <w:gridCol w:w="6820"/>
        <w:gridCol w:w="1271"/>
      </w:tblGrid>
      <w:tr w14:paraId="4FDF0452">
        <w:tblPrEx>
          <w:tblCellMar>
            <w:top w:w="15" w:type="dxa"/>
            <w:left w:w="15" w:type="dxa"/>
            <w:bottom w:w="15" w:type="dxa"/>
            <w:right w:w="15" w:type="dxa"/>
          </w:tblCellMar>
        </w:tblPrEx>
        <w:trPr>
          <w:tblHeader/>
          <w:tblCellSpacing w:w="15" w:type="dxa"/>
        </w:trPr>
        <w:tc>
          <w:tcPr>
            <w:tcW w:w="0" w:type="auto"/>
            <w:vAlign w:val="center"/>
          </w:tcPr>
          <w:p w14:paraId="1AAF4E51">
            <w:pPr>
              <w:spacing w:after="0" w:line="240" w:lineRule="auto"/>
              <w:jc w:val="center"/>
              <w:rPr>
                <w:rFonts w:ascii="Cambria" w:hAnsi="Cambria" w:eastAsia="Times New Roman" w:cs="Times New Roman"/>
                <w:b/>
                <w:bCs/>
                <w:kern w:val="0"/>
                <w:lang w:eastAsia="pt-BR"/>
                <w14:ligatures w14:val="none"/>
              </w:rPr>
            </w:pPr>
            <w:r>
              <w:rPr>
                <w:rFonts w:ascii="Cambria" w:hAnsi="Cambria" w:eastAsia="Times New Roman" w:cs="Times New Roman"/>
                <w:b/>
                <w:bCs/>
                <w:kern w:val="0"/>
                <w:lang w:eastAsia="pt-BR"/>
                <w14:ligatures w14:val="none"/>
              </w:rPr>
              <w:t>ITEM</w:t>
            </w:r>
          </w:p>
        </w:tc>
        <w:tc>
          <w:tcPr>
            <w:tcW w:w="0" w:type="auto"/>
            <w:vAlign w:val="center"/>
          </w:tcPr>
          <w:p w14:paraId="525C26AF">
            <w:pPr>
              <w:spacing w:after="0" w:line="240" w:lineRule="auto"/>
              <w:jc w:val="center"/>
              <w:rPr>
                <w:rFonts w:ascii="Cambria" w:hAnsi="Cambria" w:eastAsia="Times New Roman" w:cs="Times New Roman"/>
                <w:b/>
                <w:bCs/>
                <w:kern w:val="0"/>
                <w:lang w:eastAsia="pt-BR"/>
                <w14:ligatures w14:val="none"/>
              </w:rPr>
            </w:pPr>
            <w:r>
              <w:rPr>
                <w:rFonts w:ascii="Cambria" w:hAnsi="Cambria" w:eastAsia="Times New Roman" w:cs="Times New Roman"/>
                <w:b/>
                <w:bCs/>
                <w:kern w:val="0"/>
                <w:lang w:eastAsia="pt-BR"/>
                <w14:ligatures w14:val="none"/>
              </w:rPr>
              <w:t>DESCRIÇÃO</w:t>
            </w:r>
          </w:p>
        </w:tc>
        <w:tc>
          <w:tcPr>
            <w:tcW w:w="0" w:type="auto"/>
            <w:vAlign w:val="center"/>
          </w:tcPr>
          <w:p w14:paraId="3444D653">
            <w:pPr>
              <w:spacing w:after="0" w:line="240" w:lineRule="auto"/>
              <w:jc w:val="center"/>
              <w:rPr>
                <w:rFonts w:ascii="Cambria" w:hAnsi="Cambria" w:eastAsia="Times New Roman" w:cs="Times New Roman"/>
                <w:b/>
                <w:bCs/>
                <w:kern w:val="0"/>
                <w:lang w:eastAsia="pt-BR"/>
                <w14:ligatures w14:val="none"/>
              </w:rPr>
            </w:pPr>
            <w:r>
              <w:rPr>
                <w:rFonts w:ascii="Cambria" w:hAnsi="Cambria" w:eastAsia="Times New Roman" w:cs="Times New Roman"/>
                <w:b/>
                <w:bCs/>
                <w:kern w:val="0"/>
                <w:lang w:eastAsia="pt-BR"/>
                <w14:ligatures w14:val="none"/>
              </w:rPr>
              <w:t>VALOR (R$)</w:t>
            </w:r>
          </w:p>
        </w:tc>
      </w:tr>
      <w:tr w14:paraId="1B97CDFD">
        <w:tblPrEx>
          <w:tblCellMar>
            <w:top w:w="15" w:type="dxa"/>
            <w:left w:w="15" w:type="dxa"/>
            <w:bottom w:w="15" w:type="dxa"/>
            <w:right w:w="15" w:type="dxa"/>
          </w:tblCellMar>
        </w:tblPrEx>
        <w:trPr>
          <w:tblCellSpacing w:w="15" w:type="dxa"/>
        </w:trPr>
        <w:tc>
          <w:tcPr>
            <w:tcW w:w="0" w:type="auto"/>
            <w:vAlign w:val="center"/>
          </w:tcPr>
          <w:p w14:paraId="39B59348">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1</w:t>
            </w:r>
          </w:p>
        </w:tc>
        <w:tc>
          <w:tcPr>
            <w:tcW w:w="0" w:type="auto"/>
            <w:vAlign w:val="center"/>
          </w:tcPr>
          <w:p w14:paraId="05E014AA">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Mão de obra e deslocamento para buscar cubo de roda e desmontar</w:t>
            </w:r>
          </w:p>
        </w:tc>
        <w:tc>
          <w:tcPr>
            <w:tcW w:w="0" w:type="auto"/>
            <w:vAlign w:val="center"/>
          </w:tcPr>
          <w:p w14:paraId="008579A1">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600,00</w:t>
            </w:r>
          </w:p>
        </w:tc>
      </w:tr>
      <w:tr w14:paraId="56CB9D4A">
        <w:tblPrEx>
          <w:tblCellMar>
            <w:top w:w="15" w:type="dxa"/>
            <w:left w:w="15" w:type="dxa"/>
            <w:bottom w:w="15" w:type="dxa"/>
            <w:right w:w="15" w:type="dxa"/>
          </w:tblCellMar>
        </w:tblPrEx>
        <w:trPr>
          <w:tblCellSpacing w:w="15" w:type="dxa"/>
        </w:trPr>
        <w:tc>
          <w:tcPr>
            <w:tcW w:w="0" w:type="auto"/>
            <w:vAlign w:val="center"/>
          </w:tcPr>
          <w:p w14:paraId="29C614BE">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2</w:t>
            </w:r>
          </w:p>
        </w:tc>
        <w:tc>
          <w:tcPr>
            <w:tcW w:w="0" w:type="auto"/>
            <w:vAlign w:val="center"/>
          </w:tcPr>
          <w:p w14:paraId="2F1673FC">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Mão de obra para ajustar e montar cubo de roda</w:t>
            </w:r>
          </w:p>
        </w:tc>
        <w:tc>
          <w:tcPr>
            <w:tcW w:w="0" w:type="auto"/>
            <w:vAlign w:val="center"/>
          </w:tcPr>
          <w:p w14:paraId="0B6C5A29">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800,00</w:t>
            </w:r>
          </w:p>
        </w:tc>
      </w:tr>
      <w:tr w14:paraId="055420E1">
        <w:tblPrEx>
          <w:tblCellMar>
            <w:top w:w="15" w:type="dxa"/>
            <w:left w:w="15" w:type="dxa"/>
            <w:bottom w:w="15" w:type="dxa"/>
            <w:right w:w="15" w:type="dxa"/>
          </w:tblCellMar>
        </w:tblPrEx>
        <w:trPr>
          <w:tblCellSpacing w:w="15" w:type="dxa"/>
        </w:trPr>
        <w:tc>
          <w:tcPr>
            <w:tcW w:w="0" w:type="auto"/>
            <w:vAlign w:val="center"/>
          </w:tcPr>
          <w:p w14:paraId="5C5DFF87">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3</w:t>
            </w:r>
          </w:p>
        </w:tc>
        <w:tc>
          <w:tcPr>
            <w:tcW w:w="0" w:type="auto"/>
            <w:vAlign w:val="center"/>
          </w:tcPr>
          <w:p w14:paraId="1D20C5E5">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Mão de obra e deslocamento para montagem final (óleo, corrente, pneu)</w:t>
            </w:r>
          </w:p>
        </w:tc>
        <w:tc>
          <w:tcPr>
            <w:tcW w:w="0" w:type="auto"/>
            <w:vAlign w:val="center"/>
          </w:tcPr>
          <w:p w14:paraId="0D54B298">
            <w:pPr>
              <w:spacing w:after="0" w:line="240" w:lineRule="auto"/>
              <w:rPr>
                <w:rFonts w:ascii="Cambria" w:hAnsi="Cambria" w:eastAsia="Times New Roman" w:cs="Times New Roman"/>
                <w:kern w:val="0"/>
                <w:lang w:eastAsia="pt-BR"/>
                <w14:ligatures w14:val="none"/>
              </w:rPr>
            </w:pPr>
            <w:r>
              <w:rPr>
                <w:rFonts w:ascii="Cambria" w:hAnsi="Cambria" w:eastAsia="Times New Roman" w:cs="Times New Roman"/>
                <w:kern w:val="0"/>
                <w:lang w:eastAsia="pt-BR"/>
                <w14:ligatures w14:val="none"/>
              </w:rPr>
              <w:t>1.400,00</w:t>
            </w:r>
          </w:p>
        </w:tc>
      </w:tr>
    </w:tbl>
    <w:p w14:paraId="077DF8EF">
      <w:pPr>
        <w:spacing w:before="100" w:beforeAutospacing="1" w:after="100" w:afterAutospacing="1" w:line="240" w:lineRule="auto"/>
        <w:rPr>
          <w:rFonts w:ascii="Cambria" w:hAnsi="Cambria" w:eastAsia="Times New Roman" w:cs="Times New Roman"/>
          <w:b/>
          <w:bCs/>
          <w:kern w:val="0"/>
          <w:lang w:eastAsia="pt-BR"/>
          <w14:ligatures w14:val="none"/>
        </w:rPr>
      </w:pPr>
      <w:r>
        <w:rPr>
          <w:rFonts w:ascii="Cambria" w:hAnsi="Cambria" w:eastAsia="Times New Roman" w:cs="Times New Roman"/>
          <w:b/>
          <w:bCs/>
          <w:kern w:val="0"/>
          <w:lang w:eastAsia="pt-BR"/>
          <w14:ligatures w14:val="none"/>
        </w:rPr>
        <w:t>Valor total dos serviços: R$ 2.800,00</w:t>
      </w:r>
    </w:p>
    <w:p w14:paraId="5F61343D">
      <w:pPr>
        <w:spacing w:before="100" w:beforeAutospacing="1" w:after="100" w:afterAutospacing="1" w:line="240" w:lineRule="auto"/>
        <w:rPr>
          <w:rFonts w:ascii="Cambria" w:hAnsi="Cambria" w:eastAsia="Times New Roman" w:cs="Times New Roman"/>
          <w:b/>
          <w:bCs/>
          <w:kern w:val="0"/>
          <w:lang w:eastAsia="pt-BR"/>
          <w14:ligatures w14:val="none"/>
        </w:rPr>
      </w:pPr>
      <w:r>
        <w:rPr>
          <w:rFonts w:ascii="Cambria" w:hAnsi="Cambria" w:eastAsia="Times New Roman" w:cs="Times New Roman"/>
          <w:b/>
          <w:bCs/>
          <w:kern w:val="0"/>
          <w:lang w:eastAsia="pt-BR"/>
          <w14:ligatures w14:val="none"/>
        </w:rPr>
        <w:t>4.3 – VALOR TOTAL DA CONTRATAÇÃO</w:t>
      </w:r>
    </w:p>
    <w:p w14:paraId="22684860">
      <w:pPr>
        <w:spacing w:before="100" w:beforeAutospacing="1" w:after="100" w:afterAutospacing="1" w:line="240" w:lineRule="auto"/>
        <w:rPr>
          <w:rFonts w:ascii="Cambria" w:hAnsi="Cambria" w:eastAsia="Times New Roman" w:cs="Times New Roman"/>
          <w:kern w:val="0"/>
          <w:lang w:eastAsia="pt-BR"/>
          <w14:ligatures w14:val="none"/>
        </w:rPr>
      </w:pPr>
      <w:r>
        <w:rPr>
          <w:rFonts w:ascii="Cambria" w:hAnsi="Cambria" w:eastAsia="Times New Roman" w:cs="Times New Roman"/>
          <w:b/>
          <w:bCs/>
          <w:kern w:val="0"/>
          <w:lang w:eastAsia="pt-BR"/>
          <w14:ligatures w14:val="none"/>
        </w:rPr>
        <w:t>Valor total estimado: R$ 11.139,10</w:t>
      </w:r>
    </w:p>
    <w:p w14:paraId="45EFF805">
      <w:pPr>
        <w:suppressAutoHyphens/>
        <w:spacing w:after="0" w:line="240" w:lineRule="auto"/>
        <w:jc w:val="both"/>
        <w:rPr>
          <w:rFonts w:ascii="Cambria" w:hAnsi="Cambria" w:eastAsia="Times New Roman" w:cs="Calibri"/>
          <w:lang w:eastAsia="zh-CN"/>
          <w14:ligatures w14:val="none"/>
        </w:rPr>
      </w:pPr>
      <w:r>
        <w:rPr>
          <w:rFonts w:ascii="Cambria" w:hAnsi="Cambria" w:eastAsia="Times New Roman" w:cs="Calibri"/>
          <w:lang w:eastAsia="zh-CN"/>
          <w14:ligatures w14:val="none"/>
        </w:rPr>
        <w:t>Destaca-se que os valores apresentados foram obtidos com base em orçamento fornecido por empresa especializada no ramo, considerando a especificidade técnica do serviço e dos componentes envolvidos.</w:t>
      </w:r>
    </w:p>
    <w:p w14:paraId="220AB627">
      <w:pPr>
        <w:suppressAutoHyphens/>
        <w:spacing w:after="0" w:line="240" w:lineRule="auto"/>
        <w:jc w:val="both"/>
        <w:rPr>
          <w:rFonts w:ascii="Cambria" w:hAnsi="Cambria" w:eastAsia="Times New Roman" w:cs="Calibri"/>
          <w:lang w:eastAsia="zh-CN"/>
          <w14:ligatures w14:val="none"/>
        </w:rPr>
      </w:pPr>
    </w:p>
    <w:p w14:paraId="0FFAC3F2">
      <w:pPr>
        <w:suppressAutoHyphens/>
        <w:spacing w:after="0" w:line="240" w:lineRule="auto"/>
        <w:jc w:val="both"/>
        <w:rPr>
          <w:rFonts w:ascii="Cambria" w:hAnsi="Cambria" w:eastAsia="Times New Roman" w:cs="Calibri"/>
          <w:lang w:eastAsia="zh-CN"/>
          <w14:ligatures w14:val="none"/>
        </w:rPr>
      </w:pPr>
      <w:r>
        <w:rPr>
          <w:rFonts w:ascii="Cambria" w:hAnsi="Cambria" w:eastAsia="Times New Roman" w:cs="Calibri"/>
          <w:lang w:eastAsia="zh-CN"/>
          <w14:ligatures w14:val="none"/>
        </w:rPr>
        <w:t>Ressalta-se que, em razão da natureza técnica da manutenção corretiva e da necessidade de diagnóstico prévio, a composição dos custos pode variar conforme a real condição dos componentes no momento da execução.</w:t>
      </w:r>
    </w:p>
    <w:p w14:paraId="223BE339">
      <w:pPr>
        <w:suppressAutoHyphens/>
        <w:spacing w:after="0" w:line="240" w:lineRule="auto"/>
        <w:jc w:val="both"/>
        <w:rPr>
          <w:rFonts w:ascii="Cambria" w:hAnsi="Cambria" w:eastAsia="Times New Roman" w:cs="Calibri"/>
          <w:lang w:eastAsia="zh-CN"/>
          <w14:ligatures w14:val="none"/>
        </w:rPr>
      </w:pPr>
    </w:p>
    <w:p w14:paraId="590ED445">
      <w:pPr>
        <w:suppressAutoHyphens/>
        <w:spacing w:after="0" w:line="240" w:lineRule="auto"/>
        <w:jc w:val="both"/>
        <w:rPr>
          <w:rFonts w:ascii="Cambria" w:hAnsi="Cambria" w:eastAsia="Times New Roman" w:cs="Calibri"/>
          <w:lang w:eastAsia="zh-CN"/>
          <w14:ligatures w14:val="none"/>
        </w:rPr>
      </w:pPr>
      <w:r>
        <w:rPr>
          <w:rFonts w:ascii="Cambria" w:hAnsi="Cambria" w:eastAsia="Times New Roman" w:cs="Calibri"/>
          <w:lang w:eastAsia="zh-CN"/>
          <w14:ligatures w14:val="none"/>
        </w:rPr>
        <w:t>A Administração buscará, sempre que possível, a validação dos preços mediante consulta a outros fornecedores ou bases de dados oficiais, em observância aos princípios da economicidade e da seleção da proposta mais vantajosa, conforme disposto na Lei Federal nº 14.133/2021.</w:t>
      </w:r>
    </w:p>
    <w:p w14:paraId="116DA2D6">
      <w:pPr>
        <w:suppressAutoHyphens/>
        <w:spacing w:after="0" w:line="240" w:lineRule="auto"/>
        <w:jc w:val="both"/>
        <w:rPr>
          <w:rFonts w:ascii="Cambria" w:hAnsi="Cambria" w:eastAsia="Times New Roman" w:cs="Calibri"/>
          <w:lang w:eastAsia="zh-CN"/>
          <w14:ligatures w14:val="none"/>
        </w:rPr>
      </w:pPr>
    </w:p>
    <w:p w14:paraId="1EAD786C">
      <w:pPr>
        <w:shd w:val="clear" w:color="auto" w:fill="B4C6E7"/>
        <w:suppressAutoHyphens/>
        <w:spacing w:after="0" w:line="240" w:lineRule="auto"/>
        <w:rPr>
          <w:rFonts w:ascii="Cambria" w:hAnsi="Cambria" w:eastAsia="Times New Roman" w:cs="Calibri"/>
          <w:lang w:eastAsia="zh-CN"/>
          <w14:ligatures w14:val="none"/>
        </w:rPr>
      </w:pPr>
      <w:r>
        <w:rPr>
          <w:rFonts w:ascii="Cambria" w:hAnsi="Cambria" w:eastAsia="Times New Roman" w:cs="Calibri"/>
          <w:b/>
          <w:bCs/>
          <w:color w:val="000000"/>
          <w:lang w:eastAsia="zh-CN"/>
          <w14:ligatures w14:val="none"/>
        </w:rPr>
        <w:t>5</w:t>
      </w:r>
      <w:r>
        <w:rPr>
          <w:rFonts w:ascii="Cambria" w:hAnsi="Cambria" w:eastAsia="Times New Roman" w:cs="Calibri"/>
          <w:b/>
          <w:bCs/>
          <w:color w:val="000000"/>
          <w:shd w:val="clear" w:color="auto" w:fill="B4C6E7"/>
          <w:lang w:eastAsia="zh-CN"/>
          <w14:ligatures w14:val="none"/>
        </w:rPr>
        <w:t>. LEVANTAMENTO DE MERCADO</w:t>
      </w:r>
    </w:p>
    <w:p w14:paraId="11470FE9">
      <w:pPr>
        <w:suppressAutoHyphens/>
        <w:spacing w:after="0" w:line="240" w:lineRule="auto"/>
        <w:jc w:val="both"/>
        <w:rPr>
          <w:rFonts w:ascii="Cambria" w:hAnsi="Cambria" w:eastAsia="Times New Roman" w:cs="Calibri"/>
          <w:color w:val="000000"/>
          <w:lang w:eastAsia="zh-CN"/>
          <w14:ligatures w14:val="none"/>
        </w:rPr>
      </w:pPr>
    </w:p>
    <w:p w14:paraId="4DF36118">
      <w:pPr>
        <w:suppressAutoHyphens/>
        <w:spacing w:after="0" w:line="240" w:lineRule="auto"/>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O levantamento de mercado foi realizado mediante solicitação de orçamento junto a empresas, considerando a especificidade do serviço técnico necessário.</w:t>
      </w:r>
    </w:p>
    <w:p w14:paraId="0A1FFB07">
      <w:pPr>
        <w:suppressAutoHyphens/>
        <w:spacing w:after="0" w:line="240" w:lineRule="auto"/>
        <w:jc w:val="both"/>
        <w:rPr>
          <w:rFonts w:ascii="Cambria" w:hAnsi="Cambria" w:eastAsia="Times New Roman" w:cs="Calibri"/>
          <w:lang w:eastAsia="zh-CN"/>
          <w14:ligatures w14:val="none"/>
        </w:rPr>
      </w:pPr>
    </w:p>
    <w:p w14:paraId="0CE0C537">
      <w:pPr>
        <w:shd w:val="clear" w:color="auto" w:fill="B4C6E7"/>
        <w:suppressAutoHyphens/>
        <w:spacing w:after="0" w:line="240" w:lineRule="auto"/>
        <w:rPr>
          <w:rFonts w:ascii="Cambria" w:hAnsi="Cambria" w:eastAsia="Times New Roman" w:cs="Calibri"/>
          <w:b/>
          <w:color w:val="000000"/>
          <w:lang w:eastAsia="zh-CN"/>
          <w14:ligatures w14:val="none"/>
        </w:rPr>
      </w:pPr>
      <w:r>
        <w:rPr>
          <w:rFonts w:ascii="Cambria" w:hAnsi="Cambria" w:eastAsia="Times New Roman" w:cs="Calibri"/>
          <w:b/>
          <w:color w:val="000000"/>
          <w:lang w:eastAsia="zh-CN"/>
          <w14:ligatures w14:val="none"/>
        </w:rPr>
        <w:t>6. DESCRIÇÃO DAS POSSIVEIS SOLUÇÕES</w:t>
      </w:r>
    </w:p>
    <w:p w14:paraId="25FA8D3F">
      <w:pPr>
        <w:suppressAutoHyphens/>
        <w:spacing w:after="0" w:line="240" w:lineRule="auto"/>
        <w:jc w:val="both"/>
        <w:rPr>
          <w:rFonts w:ascii="Cambria" w:hAnsi="Cambria" w:eastAsia="Times New Roman" w:cs="Calibri"/>
          <w:color w:val="000000"/>
          <w:lang w:eastAsia="zh-CN"/>
          <w14:ligatures w14:val="none"/>
        </w:rPr>
      </w:pPr>
      <w:r>
        <w:rPr>
          <w:rFonts w:ascii="Cambria" w:hAnsi="Cambria" w:eastAsia="Times New Roman" w:cs="Calibri"/>
          <w:b/>
          <w:color w:val="000000"/>
          <w:lang w:eastAsia="zh-CN"/>
          <w14:ligatures w14:val="none"/>
        </w:rPr>
        <w:tab/>
      </w:r>
    </w:p>
    <w:p w14:paraId="3664AF19">
      <w:pPr>
        <w:suppressAutoHyphens/>
        <w:spacing w:after="0" w:line="240" w:lineRule="auto"/>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Foram analisadas as seguintes alternativas:</w:t>
      </w:r>
    </w:p>
    <w:p w14:paraId="4F9E1225">
      <w:pPr>
        <w:suppressAutoHyphens/>
        <w:spacing w:after="0" w:line="240" w:lineRule="auto"/>
        <w:jc w:val="both"/>
        <w:rPr>
          <w:rFonts w:ascii="Cambria" w:hAnsi="Cambria" w:eastAsia="Times New Roman" w:cs="Calibri"/>
          <w:color w:val="000000"/>
          <w:lang w:eastAsia="zh-CN"/>
          <w14:ligatures w14:val="none"/>
        </w:rPr>
      </w:pPr>
    </w:p>
    <w:p w14:paraId="7E2AFAE4">
      <w:pPr>
        <w:suppressAutoHyphens/>
        <w:spacing w:after="0" w:line="240" w:lineRule="auto"/>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a) Execução pelo Município – inviável pela ausência de equipe técnica e equipamentos;</w:t>
      </w:r>
    </w:p>
    <w:p w14:paraId="51E7FAC8">
      <w:pPr>
        <w:suppressAutoHyphens/>
        <w:spacing w:after="0" w:line="240" w:lineRule="auto"/>
        <w:jc w:val="both"/>
        <w:rPr>
          <w:rFonts w:ascii="Cambria" w:hAnsi="Cambria" w:eastAsia="Times New Roman" w:cs="Calibri"/>
          <w:color w:val="000000"/>
          <w:lang w:eastAsia="zh-CN"/>
          <w14:ligatures w14:val="none"/>
        </w:rPr>
      </w:pPr>
    </w:p>
    <w:p w14:paraId="4B8CB188">
      <w:pPr>
        <w:suppressAutoHyphens/>
        <w:spacing w:after="0" w:line="240" w:lineRule="auto"/>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b) Substituição do equipamento – economicamente inviável;</w:t>
      </w:r>
    </w:p>
    <w:p w14:paraId="6F83974E">
      <w:pPr>
        <w:suppressAutoHyphens/>
        <w:spacing w:after="0" w:line="240" w:lineRule="auto"/>
        <w:jc w:val="both"/>
        <w:rPr>
          <w:rFonts w:ascii="Cambria" w:hAnsi="Cambria" w:eastAsia="Times New Roman" w:cs="Calibri"/>
          <w:color w:val="000000"/>
          <w:lang w:eastAsia="zh-CN"/>
          <w14:ligatures w14:val="none"/>
        </w:rPr>
      </w:pPr>
    </w:p>
    <w:p w14:paraId="26507091">
      <w:pPr>
        <w:suppressAutoHyphens/>
        <w:spacing w:after="0" w:line="240" w:lineRule="auto"/>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c) Remanejamento de outro equipamento – inexistente na frota;</w:t>
      </w:r>
    </w:p>
    <w:p w14:paraId="76FB2D6F">
      <w:pPr>
        <w:suppressAutoHyphens/>
        <w:spacing w:after="0" w:line="240" w:lineRule="auto"/>
        <w:jc w:val="both"/>
        <w:rPr>
          <w:rFonts w:ascii="Cambria" w:hAnsi="Cambria" w:eastAsia="Times New Roman" w:cs="Calibri"/>
          <w:color w:val="000000"/>
          <w:lang w:eastAsia="zh-CN"/>
          <w14:ligatures w14:val="none"/>
        </w:rPr>
      </w:pPr>
    </w:p>
    <w:p w14:paraId="777AFD47">
      <w:pPr>
        <w:suppressAutoHyphens/>
        <w:spacing w:after="0" w:line="240" w:lineRule="auto"/>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d) Contratação de empresa especializada – solução mais adequada, garantindo qualidade técnica e restabelecimento da operação.</w:t>
      </w:r>
    </w:p>
    <w:p w14:paraId="6238A413">
      <w:pPr>
        <w:suppressAutoHyphens/>
        <w:spacing w:after="0" w:line="240" w:lineRule="auto"/>
        <w:jc w:val="both"/>
        <w:rPr>
          <w:rFonts w:ascii="Cambria" w:hAnsi="Cambria" w:eastAsia="Times New Roman" w:cs="Calibri"/>
          <w:color w:val="000000"/>
          <w:lang w:eastAsia="zh-CN"/>
          <w14:ligatures w14:val="none"/>
        </w:rPr>
      </w:pPr>
    </w:p>
    <w:p w14:paraId="182049DA">
      <w:pPr>
        <w:shd w:val="clear" w:color="auto" w:fill="B4C6E7"/>
        <w:suppressAutoHyphens/>
        <w:spacing w:after="0" w:line="240" w:lineRule="auto"/>
        <w:rPr>
          <w:rFonts w:ascii="Cambria" w:hAnsi="Cambria" w:eastAsia="Times New Roman" w:cs="Calibri"/>
          <w:lang w:eastAsia="zh-CN"/>
          <w14:ligatures w14:val="none"/>
        </w:rPr>
      </w:pPr>
      <w:r>
        <w:rPr>
          <w:rFonts w:ascii="Cambria" w:hAnsi="Cambria" w:eastAsia="Times New Roman" w:cs="Calibri"/>
          <w:b/>
          <w:color w:val="000000"/>
          <w:lang w:eastAsia="zh-CN"/>
          <w14:ligatures w14:val="none"/>
        </w:rPr>
        <w:t>7. JUSTIFICATIVA PARA O PARCELAMENTO OU NÃO DA CONTRATAÇÃO</w:t>
      </w:r>
    </w:p>
    <w:p w14:paraId="29BDEBEA">
      <w:pPr>
        <w:suppressAutoHyphens/>
        <w:spacing w:after="0" w:line="240" w:lineRule="auto"/>
        <w:jc w:val="both"/>
        <w:rPr>
          <w:rFonts w:ascii="Cambria" w:hAnsi="Cambria" w:eastAsia="Times New Roman" w:cs="Calibri"/>
          <w:lang w:eastAsia="zh-CN"/>
          <w14:ligatures w14:val="none"/>
        </w:rPr>
      </w:pPr>
    </w:p>
    <w:p w14:paraId="5F94CC94">
      <w:pPr>
        <w:suppressAutoHyphens/>
        <w:spacing w:after="0" w:line="240" w:lineRule="auto"/>
        <w:jc w:val="both"/>
        <w:rPr>
          <w:rFonts w:ascii="Cambria" w:hAnsi="Cambria" w:eastAsia="Times New Roman" w:cs="Calibri"/>
          <w:lang w:eastAsia="zh-CN"/>
          <w14:ligatures w14:val="none"/>
        </w:rPr>
      </w:pPr>
      <w:r>
        <w:rPr>
          <w:rFonts w:ascii="Cambria" w:hAnsi="Cambria" w:eastAsia="Times New Roman" w:cs="Calibri"/>
          <w:lang w:eastAsia="zh-CN"/>
          <w14:ligatures w14:val="none"/>
        </w:rPr>
        <w:t>Por razões técnicas e operacionais, a contratação deverá ocorrer em lote único, considerando a interdependência entre peças e serviços.</w:t>
      </w:r>
    </w:p>
    <w:p w14:paraId="48776657">
      <w:pPr>
        <w:suppressAutoHyphens/>
        <w:spacing w:after="0" w:line="240" w:lineRule="auto"/>
        <w:jc w:val="both"/>
        <w:rPr>
          <w:rFonts w:ascii="Cambria" w:hAnsi="Cambria" w:eastAsia="Times New Roman" w:cs="Calibri"/>
          <w:lang w:eastAsia="zh-CN"/>
          <w14:ligatures w14:val="none"/>
        </w:rPr>
      </w:pPr>
    </w:p>
    <w:p w14:paraId="6A7934D6">
      <w:pPr>
        <w:shd w:val="clear" w:color="auto" w:fill="B4C6E7"/>
        <w:suppressAutoHyphens/>
        <w:spacing w:after="0" w:line="240" w:lineRule="auto"/>
        <w:rPr>
          <w:rFonts w:ascii="Cambria" w:hAnsi="Cambria" w:eastAsia="Times New Roman" w:cs="Calibri"/>
          <w:lang w:eastAsia="zh-CN"/>
          <w14:ligatures w14:val="none"/>
        </w:rPr>
      </w:pPr>
      <w:r>
        <w:rPr>
          <w:rFonts w:ascii="Cambria" w:hAnsi="Cambria" w:eastAsia="Times New Roman" w:cs="Calibri"/>
          <w:b/>
          <w:color w:val="000000"/>
          <w:lang w:eastAsia="zh-CN"/>
          <w14:ligatures w14:val="none"/>
        </w:rPr>
        <w:t>8. RESULTADOS PRETENDIDOS</w:t>
      </w:r>
    </w:p>
    <w:p w14:paraId="46ECE53C">
      <w:pPr>
        <w:suppressAutoHyphens/>
        <w:spacing w:after="0" w:line="240" w:lineRule="auto"/>
        <w:ind w:firstLine="708"/>
        <w:jc w:val="both"/>
        <w:rPr>
          <w:rFonts w:ascii="Cambria" w:hAnsi="Cambria" w:eastAsia="Times New Roman" w:cs="Calibri"/>
          <w:color w:val="000000"/>
          <w:lang w:eastAsia="zh-CN"/>
          <w14:ligatures w14:val="none"/>
        </w:rPr>
      </w:pPr>
    </w:p>
    <w:p w14:paraId="11286EB5">
      <w:pPr>
        <w:suppressAutoHyphens/>
        <w:spacing w:after="0" w:line="240" w:lineRule="auto"/>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 xml:space="preserve">Com a contratação pretende-se </w:t>
      </w:r>
      <w:r>
        <w:rPr>
          <w:rFonts w:ascii="Cambria" w:hAnsi="Cambria" w:eastAsia="Times New Roman" w:cs="Calibri"/>
          <w:bCs/>
          <w:color w:val="000000"/>
          <w:lang w:eastAsia="zh-CN"/>
          <w14:ligatures w14:val="none"/>
        </w:rPr>
        <w:t>restabelecer o pleno funcionamento da máquina</w:t>
      </w:r>
      <w:r>
        <w:rPr>
          <w:rFonts w:ascii="Cambria" w:hAnsi="Cambria" w:eastAsia="Times New Roman" w:cs="Calibri"/>
          <w:color w:val="000000"/>
          <w:lang w:eastAsia="zh-CN"/>
          <w14:ligatures w14:val="none"/>
        </w:rPr>
        <w:t>, devolvendo à frota municipal um equipamento indispensável às atividades de infraestrutura, conservação e recuperação de estradas vicinais, obras de drenagem, terraplanagem e apoio à agricultura.</w:t>
      </w:r>
    </w:p>
    <w:p w14:paraId="0B1C582F">
      <w:pPr>
        <w:suppressAutoHyphens/>
        <w:spacing w:after="0" w:line="240" w:lineRule="auto"/>
        <w:jc w:val="both"/>
        <w:rPr>
          <w:rFonts w:ascii="Cambria" w:hAnsi="Cambria" w:eastAsia="Times New Roman" w:cs="Calibri"/>
          <w:color w:val="000000"/>
          <w:lang w:eastAsia="zh-CN"/>
          <w14:ligatures w14:val="none"/>
        </w:rPr>
      </w:pPr>
    </w:p>
    <w:p w14:paraId="572BD811">
      <w:pPr>
        <w:suppressAutoHyphens/>
        <w:spacing w:after="0" w:line="240" w:lineRule="auto"/>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 xml:space="preserve">O reparo, com fornecimento de peças adequadas e mão de obra especializada, permitirá garantir a </w:t>
      </w:r>
      <w:r>
        <w:rPr>
          <w:rFonts w:ascii="Cambria" w:hAnsi="Cambria" w:eastAsia="Times New Roman" w:cs="Calibri"/>
          <w:bCs/>
          <w:color w:val="000000"/>
          <w:lang w:eastAsia="zh-CN"/>
          <w14:ligatures w14:val="none"/>
        </w:rPr>
        <w:t>segurança, a durabilidade e a confiabilidade do maquinário</w:t>
      </w:r>
      <w:r>
        <w:rPr>
          <w:rFonts w:ascii="Cambria" w:hAnsi="Cambria" w:eastAsia="Times New Roman" w:cs="Calibri"/>
          <w:color w:val="000000"/>
          <w:lang w:eastAsia="zh-CN"/>
          <w14:ligatures w14:val="none"/>
        </w:rPr>
        <w:t>, assegurando a continuidade da prestação dos serviços públicos essenciais, a proteção do patrimônio público e a eficiência na aplicação dos recursos municipais.</w:t>
      </w:r>
    </w:p>
    <w:p w14:paraId="6FA68BC0">
      <w:pPr>
        <w:suppressAutoHyphens/>
        <w:spacing w:after="0" w:line="240" w:lineRule="auto"/>
        <w:jc w:val="both"/>
        <w:rPr>
          <w:rFonts w:ascii="Cambria" w:hAnsi="Cambria" w:eastAsia="Times New Roman" w:cs="Calibri"/>
          <w:color w:val="000000"/>
          <w:lang w:eastAsia="zh-CN"/>
          <w14:ligatures w14:val="none"/>
        </w:rPr>
      </w:pPr>
    </w:p>
    <w:p w14:paraId="64989842">
      <w:pPr>
        <w:shd w:val="clear" w:color="auto" w:fill="B4C6E7"/>
        <w:suppressAutoHyphens/>
        <w:spacing w:after="0" w:line="240" w:lineRule="auto"/>
        <w:rPr>
          <w:rFonts w:ascii="Cambria" w:hAnsi="Cambria" w:eastAsia="Times New Roman" w:cs="Calibri"/>
          <w:lang w:eastAsia="zh-CN"/>
          <w14:ligatures w14:val="none"/>
        </w:rPr>
      </w:pPr>
      <w:r>
        <w:rPr>
          <w:rFonts w:ascii="Cambria" w:hAnsi="Cambria" w:eastAsia="Times New Roman" w:cs="Calibri"/>
          <w:b/>
          <w:color w:val="000000"/>
          <w:lang w:eastAsia="zh-CN"/>
          <w14:ligatures w14:val="none"/>
        </w:rPr>
        <w:t>9. PROVIDÊNCIAS PRÉVIAS AO CONTRATO/AQUISIÇÃO</w:t>
      </w:r>
    </w:p>
    <w:p w14:paraId="2F4E747C">
      <w:pPr>
        <w:suppressAutoHyphens/>
        <w:spacing w:after="0" w:line="240" w:lineRule="auto"/>
        <w:jc w:val="both"/>
        <w:rPr>
          <w:rFonts w:ascii="Cambria" w:hAnsi="Cambria" w:eastAsia="Times New Roman" w:cs="Calibri"/>
          <w:lang w:eastAsia="zh-CN"/>
          <w14:ligatures w14:val="none"/>
        </w:rPr>
      </w:pPr>
    </w:p>
    <w:p w14:paraId="13AD0C6A">
      <w:pPr>
        <w:suppressAutoHyphens/>
        <w:spacing w:after="0" w:line="240" w:lineRule="auto"/>
        <w:jc w:val="both"/>
        <w:rPr>
          <w:rFonts w:ascii="Cambria" w:hAnsi="Cambria" w:eastAsia="Times New Roman" w:cs="Calibri"/>
          <w:lang w:eastAsia="zh-CN"/>
          <w14:ligatures w14:val="none"/>
        </w:rPr>
      </w:pPr>
      <w:r>
        <w:rPr>
          <w:rFonts w:ascii="Cambria" w:hAnsi="Cambria" w:eastAsia="Times New Roman" w:cs="Calibri"/>
          <w:lang w:eastAsia="zh-CN"/>
          <w14:ligatures w14:val="none"/>
        </w:rPr>
        <w:t>Como providência preliminar à contratação, a Secretaria Municipal de Obras procedeu ao levantamento da necessidade, diagnóstico do problema e solicitação de orçamento junto à empresa especializada, contemplando peças e serviços necessários à manutenção corretiva da motoniveladora.</w:t>
      </w:r>
    </w:p>
    <w:p w14:paraId="70C1F19B">
      <w:pPr>
        <w:suppressAutoHyphens/>
        <w:spacing w:after="0" w:line="240" w:lineRule="auto"/>
        <w:jc w:val="both"/>
        <w:rPr>
          <w:rFonts w:ascii="Cambria" w:hAnsi="Cambria" w:eastAsia="Times New Roman" w:cs="Calibri"/>
          <w:lang w:eastAsia="zh-CN"/>
          <w14:ligatures w14:val="none"/>
        </w:rPr>
      </w:pPr>
    </w:p>
    <w:p w14:paraId="596FCA1B">
      <w:pPr>
        <w:suppressAutoHyphens/>
        <w:spacing w:after="0" w:line="240" w:lineRule="auto"/>
        <w:jc w:val="both"/>
        <w:rPr>
          <w:rFonts w:ascii="Cambria" w:hAnsi="Cambria" w:eastAsia="Times New Roman" w:cs="Calibri"/>
          <w:lang w:eastAsia="zh-CN"/>
          <w14:ligatures w14:val="none"/>
        </w:rPr>
      </w:pPr>
      <w:r>
        <w:rPr>
          <w:rFonts w:ascii="Cambria" w:hAnsi="Cambria" w:eastAsia="Times New Roman" w:cs="Calibri"/>
          <w:lang w:eastAsia="zh-CN"/>
          <w14:ligatures w14:val="none"/>
        </w:rPr>
        <w:t>Após a realização do orçamento e definição técnica dos serviços, a demanda foi encaminhada à Secretaria Municipal da Administração, responsável pela condução dos trâmites administrativos, incluindo a elaboração do Estudo Técnico Preliminar, Termo de Referência e demais documentos necessários à formalização da contratação.</w:t>
      </w:r>
    </w:p>
    <w:p w14:paraId="4779CFCE">
      <w:pPr>
        <w:suppressAutoHyphens/>
        <w:spacing w:after="0" w:line="240" w:lineRule="auto"/>
        <w:jc w:val="both"/>
        <w:rPr>
          <w:rFonts w:ascii="Cambria" w:hAnsi="Cambria" w:eastAsia="Times New Roman" w:cs="Calibri"/>
          <w:lang w:eastAsia="zh-CN"/>
          <w14:ligatures w14:val="none"/>
        </w:rPr>
      </w:pPr>
    </w:p>
    <w:p w14:paraId="6FD7980E">
      <w:pPr>
        <w:shd w:val="clear" w:color="auto" w:fill="B4C6E7"/>
        <w:suppressAutoHyphens/>
        <w:spacing w:after="0" w:line="240" w:lineRule="auto"/>
        <w:rPr>
          <w:rFonts w:ascii="Cambria" w:hAnsi="Cambria" w:eastAsia="Times New Roman" w:cs="Calibri"/>
          <w:lang w:eastAsia="zh-CN"/>
          <w14:ligatures w14:val="none"/>
        </w:rPr>
      </w:pPr>
      <w:r>
        <w:rPr>
          <w:rFonts w:ascii="Cambria" w:hAnsi="Cambria" w:eastAsia="Times New Roman" w:cs="Calibri"/>
          <w:b/>
          <w:color w:val="000000"/>
          <w:lang w:eastAsia="zh-CN"/>
          <w14:ligatures w14:val="none"/>
        </w:rPr>
        <w:t>10. CONTRATAÇÕES CORRELATAS E/OU INTERDEPENDENTES</w:t>
      </w:r>
    </w:p>
    <w:p w14:paraId="5D66865A">
      <w:pPr>
        <w:suppressAutoHyphens/>
        <w:spacing w:after="0" w:line="240" w:lineRule="auto"/>
        <w:jc w:val="both"/>
        <w:rPr>
          <w:rFonts w:ascii="Cambria" w:hAnsi="Cambria" w:eastAsia="Times New Roman" w:cs="Calibri"/>
          <w:b/>
          <w:color w:val="000000"/>
          <w:lang w:eastAsia="zh-CN"/>
          <w14:ligatures w14:val="none"/>
        </w:rPr>
      </w:pPr>
    </w:p>
    <w:p w14:paraId="413D2461">
      <w:pPr>
        <w:suppressAutoHyphens/>
        <w:spacing w:after="0" w:line="240" w:lineRule="auto"/>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A presente contratação é específica, porém evidencia a necessidade de planejamento contínuo para manutenção da frota.</w:t>
      </w:r>
    </w:p>
    <w:p w14:paraId="3CF13737">
      <w:pPr>
        <w:suppressAutoHyphens/>
        <w:spacing w:after="0" w:line="240" w:lineRule="auto"/>
        <w:jc w:val="both"/>
        <w:rPr>
          <w:rFonts w:ascii="Cambria" w:hAnsi="Cambria" w:eastAsia="Times New Roman" w:cs="Calibri"/>
          <w:b/>
          <w:color w:val="000000"/>
          <w:lang w:eastAsia="zh-CN"/>
          <w14:ligatures w14:val="none"/>
        </w:rPr>
      </w:pPr>
      <w:r>
        <w:rPr>
          <w:rFonts w:ascii="Cambria" w:hAnsi="Cambria" w:eastAsia="Times New Roman" w:cs="Calibri"/>
          <w:b/>
          <w:color w:val="000000"/>
          <w:lang w:eastAsia="zh-CN"/>
          <w14:ligatures w14:val="none"/>
        </w:rPr>
        <w:tab/>
      </w:r>
    </w:p>
    <w:p w14:paraId="78ED055F">
      <w:pPr>
        <w:shd w:val="clear" w:color="auto" w:fill="B4C6E7"/>
        <w:suppressAutoHyphens/>
        <w:spacing w:after="0" w:line="240" w:lineRule="auto"/>
        <w:rPr>
          <w:rFonts w:ascii="Cambria" w:hAnsi="Cambria" w:eastAsia="Times New Roman" w:cs="Calibri"/>
          <w:lang w:eastAsia="zh-CN"/>
          <w14:ligatures w14:val="none"/>
        </w:rPr>
      </w:pPr>
      <w:r>
        <w:rPr>
          <w:rFonts w:ascii="Cambria" w:hAnsi="Cambria" w:eastAsia="Times New Roman" w:cs="Calibri"/>
          <w:b/>
          <w:color w:val="000000"/>
          <w:lang w:eastAsia="zh-CN"/>
          <w14:ligatures w14:val="none"/>
        </w:rPr>
        <w:t>11. POSSÍVEIS IMPACTOS AMBIENTAIS</w:t>
      </w:r>
    </w:p>
    <w:p w14:paraId="37F3FDE8">
      <w:pPr>
        <w:suppressAutoHyphens/>
        <w:spacing w:after="0" w:line="240" w:lineRule="auto"/>
        <w:ind w:firstLine="708"/>
        <w:jc w:val="both"/>
        <w:rPr>
          <w:rFonts w:ascii="Cambria" w:hAnsi="Cambria" w:eastAsia="Times New Roman" w:cs="Calibri"/>
          <w:color w:val="000000"/>
          <w:lang w:eastAsia="zh-CN"/>
          <w14:ligatures w14:val="none"/>
        </w:rPr>
      </w:pPr>
    </w:p>
    <w:p w14:paraId="5D1325A0">
      <w:pPr>
        <w:suppressAutoHyphens/>
        <w:spacing w:after="0" w:line="240" w:lineRule="auto"/>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Não se identificam impactos ambientais relevantes, sendo que os serviços serão realizados com reaproveitamento de componentes sempre que possível.</w:t>
      </w:r>
    </w:p>
    <w:p w14:paraId="2E236542">
      <w:pPr>
        <w:suppressAutoHyphens/>
        <w:spacing w:after="0" w:line="240" w:lineRule="auto"/>
        <w:jc w:val="both"/>
        <w:rPr>
          <w:rFonts w:ascii="Cambria" w:hAnsi="Cambria" w:eastAsia="Times New Roman" w:cs="Calibri"/>
          <w:color w:val="000000"/>
          <w:lang w:eastAsia="zh-CN"/>
          <w14:ligatures w14:val="none"/>
        </w:rPr>
      </w:pPr>
    </w:p>
    <w:p w14:paraId="42975D64">
      <w:pPr>
        <w:shd w:val="clear" w:color="auto" w:fill="B4C6E7"/>
        <w:tabs>
          <w:tab w:val="left" w:pos="720"/>
          <w:tab w:val="left" w:pos="1440"/>
          <w:tab w:val="left" w:pos="2160"/>
          <w:tab w:val="left" w:pos="2880"/>
        </w:tabs>
        <w:suppressAutoHyphens/>
        <w:spacing w:after="0" w:line="240" w:lineRule="auto"/>
        <w:rPr>
          <w:rFonts w:ascii="Cambria" w:hAnsi="Cambria" w:eastAsia="Times New Roman" w:cs="Calibri"/>
          <w:lang w:eastAsia="zh-CN"/>
          <w14:ligatures w14:val="none"/>
        </w:rPr>
      </w:pPr>
      <w:r>
        <w:rPr>
          <w:rFonts w:ascii="Cambria" w:hAnsi="Cambria" w:eastAsia="Times New Roman" w:cs="Calibri"/>
          <w:b/>
          <w:color w:val="000000"/>
          <w:shd w:val="clear" w:color="auto" w:fill="B4C6E7"/>
          <w:lang w:eastAsia="zh-CN"/>
          <w14:ligatures w14:val="none"/>
        </w:rPr>
        <w:t>12. DECLARAÇÃO DE VIABILIDADE</w:t>
      </w:r>
    </w:p>
    <w:p w14:paraId="4DB442B8">
      <w:pPr>
        <w:suppressAutoHyphens/>
        <w:spacing w:after="0" w:line="100" w:lineRule="atLeast"/>
        <w:jc w:val="both"/>
        <w:rPr>
          <w:rFonts w:ascii="Cambria" w:hAnsi="Cambria" w:eastAsia="LiberationSerif-Bold" w:cs="Calibri"/>
          <w:color w:val="000000"/>
          <w:lang w:eastAsia="zh-CN" w:bidi="ar"/>
          <w14:ligatures w14:val="none"/>
        </w:rPr>
      </w:pPr>
    </w:p>
    <w:p w14:paraId="41D0C273">
      <w:pPr>
        <w:suppressAutoHyphens/>
        <w:spacing w:after="0" w:line="100" w:lineRule="atLeast"/>
        <w:jc w:val="both"/>
        <w:rPr>
          <w:rFonts w:ascii="Cambria" w:hAnsi="Cambria" w:eastAsia="LiberationSerif-Bold" w:cs="Calibri"/>
          <w:color w:val="000000"/>
          <w:lang w:eastAsia="zh-CN" w:bidi="ar"/>
          <w14:ligatures w14:val="none"/>
        </w:rPr>
      </w:pPr>
      <w:r>
        <w:rPr>
          <w:rFonts w:ascii="Cambria" w:hAnsi="Cambria" w:eastAsia="LiberationSerif-Bold" w:cs="Calibri"/>
          <w:color w:val="000000"/>
          <w:lang w:eastAsia="zh-CN" w:bidi="ar"/>
          <w14:ligatures w14:val="none"/>
        </w:rPr>
        <w:t>A contratação mostra-se viável sob os aspectos técnico, administrativo e econômico.</w:t>
      </w:r>
    </w:p>
    <w:p w14:paraId="00C08834">
      <w:pPr>
        <w:suppressAutoHyphens/>
        <w:spacing w:after="0" w:line="100" w:lineRule="atLeast"/>
        <w:jc w:val="both"/>
        <w:rPr>
          <w:rFonts w:ascii="Cambria" w:hAnsi="Cambria" w:eastAsia="LiberationSerif-Bold" w:cs="Calibri"/>
          <w:color w:val="000000"/>
          <w:lang w:eastAsia="zh-CN" w:bidi="ar"/>
          <w14:ligatures w14:val="none"/>
        </w:rPr>
      </w:pPr>
    </w:p>
    <w:p w14:paraId="7535DEDF">
      <w:pPr>
        <w:suppressAutoHyphens/>
        <w:spacing w:after="0" w:line="100" w:lineRule="atLeast"/>
        <w:jc w:val="both"/>
        <w:rPr>
          <w:rFonts w:ascii="Cambria" w:hAnsi="Cambria" w:eastAsia="LiberationSerif-Bold" w:cs="Calibri"/>
          <w:color w:val="000000"/>
          <w:lang w:eastAsia="zh-CN" w:bidi="ar"/>
          <w14:ligatures w14:val="none"/>
        </w:rPr>
      </w:pPr>
      <w:r>
        <w:rPr>
          <w:rFonts w:ascii="Cambria" w:hAnsi="Cambria" w:eastAsia="LiberationSerif-Bold" w:cs="Calibri"/>
          <w:color w:val="000000"/>
          <w:lang w:eastAsia="zh-CN" w:bidi="ar"/>
          <w14:ligatures w14:val="none"/>
        </w:rPr>
        <w:t>Está fundamentada nos princípios da eficiência e planejamento previstos no art. 11 da Lei nº 14.133/2021, bem como no art. 18, que trata da instrução da contratação.</w:t>
      </w:r>
    </w:p>
    <w:p w14:paraId="2EB402C1">
      <w:pPr>
        <w:suppressAutoHyphens/>
        <w:spacing w:after="0" w:line="100" w:lineRule="atLeast"/>
        <w:jc w:val="both"/>
        <w:rPr>
          <w:rFonts w:ascii="Cambria" w:hAnsi="Cambria" w:eastAsia="LiberationSerif-Bold" w:cs="Calibri"/>
          <w:color w:val="000000"/>
          <w:lang w:eastAsia="zh-CN" w:bidi="ar"/>
          <w14:ligatures w14:val="none"/>
        </w:rPr>
      </w:pPr>
    </w:p>
    <w:p w14:paraId="43E69F3E">
      <w:pPr>
        <w:suppressAutoHyphens/>
        <w:spacing w:after="0" w:line="100" w:lineRule="atLeast"/>
        <w:jc w:val="both"/>
        <w:rPr>
          <w:rFonts w:ascii="Cambria" w:hAnsi="Cambria" w:eastAsia="LiberationSerif-Bold" w:cs="Calibri"/>
          <w:color w:val="000000"/>
          <w:lang w:eastAsia="zh-CN" w:bidi="ar"/>
          <w14:ligatures w14:val="none"/>
        </w:rPr>
      </w:pPr>
      <w:r>
        <w:rPr>
          <w:rFonts w:ascii="Cambria" w:hAnsi="Cambria" w:eastAsia="LiberationSerif-Bold" w:cs="Calibri"/>
          <w:color w:val="000000"/>
          <w:lang w:eastAsia="zh-CN" w:bidi="ar"/>
          <w14:ligatures w14:val="none"/>
        </w:rPr>
        <w:t>A solução proposta é adequada e necessária para garantir a continuidade dos serviços públicos.</w:t>
      </w:r>
      <w:r>
        <w:rPr>
          <w:rFonts w:ascii="Cambria" w:hAnsi="Cambria" w:eastAsia="LiberationSerif-Bold" w:cs="Calibri"/>
          <w:color w:val="000000"/>
          <w:lang w:eastAsia="zh-CN" w:bidi="ar"/>
          <w14:ligatures w14:val="none"/>
        </w:rPr>
        <w:tab/>
      </w:r>
    </w:p>
    <w:p w14:paraId="0DE865A0">
      <w:pPr>
        <w:suppressAutoHyphens/>
        <w:spacing w:after="0" w:line="100" w:lineRule="atLeast"/>
        <w:jc w:val="both"/>
        <w:rPr>
          <w:rFonts w:ascii="Cambria" w:hAnsi="Cambria" w:eastAsia="Times New Roman" w:cs="Calibri"/>
          <w:color w:val="000000"/>
          <w:lang w:eastAsia="zh-CN"/>
          <w14:ligatures w14:val="none"/>
        </w:rPr>
      </w:pPr>
    </w:p>
    <w:p w14:paraId="010F13C1">
      <w:pPr>
        <w:shd w:val="clear" w:color="auto" w:fill="B4C6E7"/>
        <w:tabs>
          <w:tab w:val="left" w:pos="720"/>
          <w:tab w:val="left" w:pos="1440"/>
          <w:tab w:val="left" w:pos="2160"/>
          <w:tab w:val="left" w:pos="2880"/>
        </w:tabs>
        <w:suppressAutoHyphens/>
        <w:spacing w:after="0" w:line="240" w:lineRule="auto"/>
        <w:rPr>
          <w:rFonts w:ascii="Cambria" w:hAnsi="Cambria" w:eastAsia="Times New Roman" w:cs="Calibri"/>
          <w:lang w:eastAsia="zh-CN"/>
          <w14:ligatures w14:val="none"/>
        </w:rPr>
      </w:pPr>
      <w:r>
        <w:rPr>
          <w:rFonts w:ascii="Cambria" w:hAnsi="Cambria" w:eastAsia="Times New Roman" w:cs="Calibri"/>
          <w:b/>
          <w:color w:val="000000"/>
          <w:shd w:val="clear" w:color="auto" w:fill="B4C6E7"/>
          <w:lang w:eastAsia="zh-CN"/>
          <w14:ligatures w14:val="none"/>
        </w:rPr>
        <w:t>13. DISPOSIÇÕES FINAIS</w:t>
      </w:r>
    </w:p>
    <w:p w14:paraId="6273C23C">
      <w:pPr>
        <w:suppressAutoHyphens/>
        <w:spacing w:after="0" w:line="100" w:lineRule="atLeast"/>
        <w:jc w:val="both"/>
        <w:rPr>
          <w:rFonts w:ascii="Cambria" w:hAnsi="Cambria" w:eastAsia="Times New Roman" w:cs="Calibri"/>
          <w:color w:val="000000"/>
          <w:lang w:eastAsia="zh-CN"/>
          <w14:ligatures w14:val="none"/>
        </w:rPr>
      </w:pPr>
    </w:p>
    <w:p w14:paraId="35A596D0">
      <w:pPr>
        <w:suppressAutoHyphens/>
        <w:spacing w:after="0" w:line="100" w:lineRule="atLeast"/>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O presente Estudo Técnico Preliminar foi elaborado pela Secretaria Municipal da Administração, em razão da necessidade de instrução do processo administrativo e da inexistência de equipe técnica específica no setor demandante para elaboração deste documento.</w:t>
      </w:r>
    </w:p>
    <w:p w14:paraId="2C977804">
      <w:pPr>
        <w:suppressAutoHyphens/>
        <w:spacing w:after="0" w:line="100" w:lineRule="atLeast"/>
        <w:jc w:val="both"/>
        <w:rPr>
          <w:rFonts w:ascii="Cambria" w:hAnsi="Cambria" w:eastAsia="Times New Roman" w:cs="Calibri"/>
          <w:color w:val="000000"/>
          <w:lang w:eastAsia="zh-CN"/>
          <w14:ligatures w14:val="none"/>
        </w:rPr>
      </w:pPr>
    </w:p>
    <w:p w14:paraId="49E3EBBF">
      <w:pPr>
        <w:suppressAutoHyphens/>
        <w:spacing w:after="0" w:line="100" w:lineRule="atLeast"/>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Ressalta-se que a demanda, o diagnóstico do problema e a orçamentação foram encaminhados pela Secretaria Municipal de Obras, sendo de sua responsabilidade as informações técnicas apresentadas.</w:t>
      </w:r>
    </w:p>
    <w:p w14:paraId="47D7E45D">
      <w:pPr>
        <w:suppressAutoHyphens/>
        <w:spacing w:after="0" w:line="100" w:lineRule="atLeast"/>
        <w:jc w:val="both"/>
        <w:rPr>
          <w:rFonts w:ascii="Cambria" w:hAnsi="Cambria" w:eastAsia="Times New Roman" w:cs="Calibri"/>
          <w:color w:val="000000"/>
          <w:lang w:eastAsia="zh-CN"/>
          <w14:ligatures w14:val="none"/>
        </w:rPr>
      </w:pPr>
    </w:p>
    <w:p w14:paraId="4060A5CB">
      <w:pPr>
        <w:suppressAutoHyphens/>
        <w:spacing w:after="0" w:line="100" w:lineRule="atLeast"/>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Considerando a natureza da falha constatada, recomenda-se a avaliação técnica quanto à origem do dano, a fim de verificar se a quebra da ponta de eixo decorreu de desgaste natural, fadiga do material ou eventual uso inadequado do equipamento. Caso identificados indícios de mau uso, negligência ou falha operacional, deverá ser instaurado o procedimento administrativo cabível para apuração de responsabilidade, nos termos da legislação vigente.</w:t>
      </w:r>
    </w:p>
    <w:p w14:paraId="56C526B3">
      <w:pPr>
        <w:suppressAutoHyphens/>
        <w:spacing w:after="0" w:line="100" w:lineRule="atLeast"/>
        <w:jc w:val="both"/>
        <w:rPr>
          <w:rFonts w:ascii="Cambria" w:hAnsi="Cambria" w:eastAsia="Times New Roman" w:cs="Calibri"/>
          <w:color w:val="000000"/>
          <w:lang w:eastAsia="zh-CN"/>
          <w14:ligatures w14:val="none"/>
        </w:rPr>
      </w:pPr>
    </w:p>
    <w:p w14:paraId="646A8594">
      <w:pPr>
        <w:suppressAutoHyphens/>
        <w:spacing w:after="0" w:line="100" w:lineRule="atLeast"/>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Destaca-se ainda que a Administração Municipal está ciente da recorrência de manutenções corretivas no referido equipamento, situação que acende sinal de alerta quanto à necessidade de adoção de medidas preventivas, tais como:</w:t>
      </w:r>
    </w:p>
    <w:p w14:paraId="659375D3">
      <w:pPr>
        <w:suppressAutoHyphens/>
        <w:spacing w:after="0" w:line="100" w:lineRule="atLeast"/>
        <w:jc w:val="both"/>
        <w:rPr>
          <w:rFonts w:ascii="Cambria" w:hAnsi="Cambria" w:eastAsia="Times New Roman" w:cs="Calibri"/>
          <w:color w:val="000000"/>
          <w:lang w:eastAsia="zh-CN"/>
          <w14:ligatures w14:val="none"/>
        </w:rPr>
      </w:pPr>
    </w:p>
    <w:p w14:paraId="651C118B">
      <w:pPr>
        <w:pStyle w:val="31"/>
        <w:numPr>
          <w:ilvl w:val="0"/>
          <w:numId w:val="1"/>
        </w:numPr>
        <w:suppressAutoHyphens/>
        <w:spacing w:after="0" w:line="100" w:lineRule="atLeast"/>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implantação de rotinas de manutenção preventiva;</w:t>
      </w:r>
    </w:p>
    <w:p w14:paraId="00D9DEF0">
      <w:pPr>
        <w:pStyle w:val="31"/>
        <w:numPr>
          <w:ilvl w:val="0"/>
          <w:numId w:val="1"/>
        </w:numPr>
        <w:suppressAutoHyphens/>
        <w:spacing w:after="0" w:line="100" w:lineRule="atLeast"/>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controle mais rigoroso da utilização do equipamento;</w:t>
      </w:r>
    </w:p>
    <w:p w14:paraId="414A3DB5">
      <w:pPr>
        <w:pStyle w:val="31"/>
        <w:numPr>
          <w:ilvl w:val="0"/>
          <w:numId w:val="1"/>
        </w:numPr>
        <w:suppressAutoHyphens/>
        <w:spacing w:after="0" w:line="100" w:lineRule="atLeast"/>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capacitação dos operadores;</w:t>
      </w:r>
    </w:p>
    <w:p w14:paraId="582E1C26">
      <w:pPr>
        <w:pStyle w:val="31"/>
        <w:numPr>
          <w:ilvl w:val="0"/>
          <w:numId w:val="1"/>
        </w:numPr>
        <w:suppressAutoHyphens/>
        <w:spacing w:after="0" w:line="100" w:lineRule="atLeast"/>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e planejamento de contratações contínuas para manutenção da frota.</w:t>
      </w:r>
    </w:p>
    <w:p w14:paraId="7BFAC979">
      <w:pPr>
        <w:suppressAutoHyphens/>
        <w:spacing w:after="0" w:line="100" w:lineRule="atLeast"/>
        <w:jc w:val="both"/>
        <w:rPr>
          <w:rFonts w:ascii="Cambria" w:hAnsi="Cambria" w:eastAsia="Times New Roman" w:cs="Calibri"/>
          <w:color w:val="000000"/>
          <w:lang w:eastAsia="zh-CN"/>
          <w14:ligatures w14:val="none"/>
        </w:rPr>
      </w:pPr>
    </w:p>
    <w:p w14:paraId="5F1027D5">
      <w:pPr>
        <w:suppressAutoHyphens/>
        <w:spacing w:after="0" w:line="100" w:lineRule="atLeast"/>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Por fim, ressalta-se que serviços de manutenção dessa natureza devem, sempre que possível, ser planejados e contratados por meio de processo licitatório adequado, como registro de preços ou credenciamento, evitando a utilização recorrente de contratações diretas.</w:t>
      </w:r>
    </w:p>
    <w:p w14:paraId="09D50068">
      <w:pPr>
        <w:suppressAutoHyphens/>
        <w:spacing w:after="0" w:line="100" w:lineRule="atLeast"/>
        <w:jc w:val="both"/>
        <w:rPr>
          <w:rFonts w:ascii="Cambria" w:hAnsi="Cambria" w:eastAsia="Times New Roman" w:cs="Calibri"/>
          <w:color w:val="000000"/>
          <w:lang w:eastAsia="zh-CN"/>
          <w14:ligatures w14:val="none"/>
        </w:rPr>
      </w:pPr>
    </w:p>
    <w:p w14:paraId="779FD442">
      <w:pPr>
        <w:suppressAutoHyphens/>
        <w:spacing w:after="0" w:line="100" w:lineRule="atLeast"/>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O presente documento segue assinado pelo Secretário Municipal de Obras, Sr. Silvio Fernandes Sanderson, que declara ciência e concordância com os termos aqui estabelecidos, atribuindo validade às informações técnicas apresentadas.</w:t>
      </w:r>
    </w:p>
    <w:p w14:paraId="499EF06C">
      <w:pPr>
        <w:suppressAutoHyphens/>
        <w:spacing w:after="0" w:line="100" w:lineRule="atLeast"/>
        <w:jc w:val="both"/>
        <w:rPr>
          <w:rFonts w:ascii="Cambria" w:hAnsi="Cambria" w:eastAsia="Times New Roman" w:cs="Calibri"/>
          <w:color w:val="000000"/>
          <w:lang w:eastAsia="zh-CN"/>
          <w14:ligatures w14:val="none"/>
        </w:rPr>
      </w:pPr>
    </w:p>
    <w:p w14:paraId="71E57DFF">
      <w:pPr>
        <w:suppressAutoHyphens/>
        <w:spacing w:after="0" w:line="100" w:lineRule="atLeast"/>
        <w:jc w:val="both"/>
        <w:rPr>
          <w:rFonts w:ascii="Cambria" w:hAnsi="Cambria" w:eastAsia="Times New Roman" w:cs="Calibri"/>
          <w:color w:val="000000"/>
          <w:lang w:eastAsia="zh-CN"/>
          <w14:ligatures w14:val="none"/>
        </w:rPr>
      </w:pPr>
    </w:p>
    <w:p w14:paraId="7F0CB57E">
      <w:pPr>
        <w:suppressAutoHyphens/>
        <w:spacing w:after="0" w:line="100" w:lineRule="atLeast"/>
        <w:jc w:val="both"/>
        <w:rPr>
          <w:rFonts w:ascii="Cambria" w:hAnsi="Cambria" w:eastAsia="Times New Roman" w:cs="Calibri"/>
          <w:color w:val="000000"/>
          <w:lang w:eastAsia="zh-CN"/>
          <w14:ligatures w14:val="none"/>
        </w:rPr>
      </w:pPr>
    </w:p>
    <w:p w14:paraId="259B9903">
      <w:pPr>
        <w:suppressAutoHyphens/>
        <w:spacing w:after="0" w:line="100" w:lineRule="atLeast"/>
        <w:jc w:val="both"/>
        <w:rPr>
          <w:rFonts w:ascii="Cambria" w:hAnsi="Cambria" w:eastAsia="Times New Roman" w:cs="Calibri"/>
          <w:color w:val="000000"/>
          <w:lang w:eastAsia="zh-CN"/>
          <w14:ligatures w14:val="none"/>
        </w:rPr>
      </w:pPr>
    </w:p>
    <w:p w14:paraId="5D49D3D7">
      <w:pPr>
        <w:suppressAutoHyphens/>
        <w:spacing w:after="0" w:line="100" w:lineRule="atLeast"/>
        <w:jc w:val="both"/>
        <w:rPr>
          <w:rFonts w:ascii="Cambria" w:hAnsi="Cambria" w:eastAsia="Times New Roman" w:cs="Calibri"/>
          <w:color w:val="000000"/>
          <w:lang w:eastAsia="zh-CN"/>
          <w14:ligatures w14:val="none"/>
        </w:rPr>
      </w:pPr>
    </w:p>
    <w:p w14:paraId="7450D171">
      <w:pPr>
        <w:suppressAutoHyphens/>
        <w:spacing w:after="0" w:line="100" w:lineRule="atLeast"/>
        <w:jc w:val="both"/>
        <w:rPr>
          <w:rFonts w:ascii="Cambria" w:hAnsi="Cambria" w:eastAsia="Times New Roman" w:cs="Calibri"/>
          <w:color w:val="000000"/>
          <w:lang w:eastAsia="zh-CN"/>
          <w14:ligatures w14:val="none"/>
        </w:rPr>
      </w:pPr>
    </w:p>
    <w:p w14:paraId="0C1F8C36">
      <w:pPr>
        <w:suppressAutoHyphens/>
        <w:spacing w:after="0" w:line="100" w:lineRule="atLeast"/>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 xml:space="preserve">Mormaço, </w:t>
      </w:r>
      <w:r>
        <w:rPr>
          <w:rFonts w:hint="default" w:ascii="Cambria" w:hAnsi="Cambria" w:eastAsia="Times New Roman" w:cs="Calibri"/>
          <w:color w:val="000000"/>
          <w:lang w:val="pt-BR" w:eastAsia="zh-CN"/>
          <w14:ligatures w14:val="none"/>
        </w:rPr>
        <w:t>20</w:t>
      </w:r>
      <w:r>
        <w:rPr>
          <w:rFonts w:ascii="Cambria" w:hAnsi="Cambria" w:eastAsia="Times New Roman" w:cs="Calibri"/>
          <w:color w:val="000000"/>
          <w:lang w:eastAsia="zh-CN"/>
          <w14:ligatures w14:val="none"/>
        </w:rPr>
        <w:t xml:space="preserve"> de </w:t>
      </w:r>
      <w:r>
        <w:rPr>
          <w:rFonts w:hint="default" w:ascii="Cambria" w:hAnsi="Cambria" w:eastAsia="Times New Roman" w:cs="Calibri"/>
          <w:color w:val="000000"/>
          <w:lang w:val="pt-BR" w:eastAsia="zh-CN"/>
          <w14:ligatures w14:val="none"/>
        </w:rPr>
        <w:t>abril</w:t>
      </w:r>
      <w:bookmarkStart w:id="2" w:name="_GoBack"/>
      <w:bookmarkEnd w:id="2"/>
      <w:r>
        <w:rPr>
          <w:rFonts w:ascii="Cambria" w:hAnsi="Cambria" w:eastAsia="Times New Roman" w:cs="Calibri"/>
          <w:color w:val="000000"/>
          <w:lang w:eastAsia="zh-CN"/>
          <w14:ligatures w14:val="none"/>
        </w:rPr>
        <w:t xml:space="preserve"> de 2026.</w:t>
      </w:r>
    </w:p>
    <w:p w14:paraId="4A11D427">
      <w:pPr>
        <w:suppressAutoHyphens/>
        <w:spacing w:after="0" w:line="100" w:lineRule="atLeast"/>
        <w:jc w:val="both"/>
        <w:rPr>
          <w:rFonts w:ascii="Cambria" w:hAnsi="Cambria" w:eastAsia="Times New Roman" w:cs="Calibri"/>
          <w:color w:val="000000"/>
          <w:lang w:eastAsia="zh-CN"/>
          <w14:ligatures w14:val="none"/>
        </w:rPr>
      </w:pPr>
    </w:p>
    <w:p w14:paraId="3152AEBD">
      <w:pPr>
        <w:suppressAutoHyphens/>
        <w:spacing w:after="0" w:line="100" w:lineRule="atLeast"/>
        <w:jc w:val="both"/>
        <w:rPr>
          <w:rFonts w:ascii="Cambria" w:hAnsi="Cambria" w:eastAsia="Times New Roman" w:cs="Calibri"/>
          <w:color w:val="000000"/>
          <w:lang w:eastAsia="zh-CN"/>
          <w14:ligatures w14:val="none"/>
        </w:rPr>
      </w:pPr>
    </w:p>
    <w:p w14:paraId="47DA5697">
      <w:pPr>
        <w:suppressAutoHyphens/>
        <w:spacing w:after="0" w:line="100" w:lineRule="atLeast"/>
        <w:jc w:val="both"/>
        <w:rPr>
          <w:rFonts w:ascii="Cambria" w:hAnsi="Cambria" w:eastAsia="Times New Roman" w:cs="Calibri"/>
          <w:color w:val="000000"/>
          <w:lang w:eastAsia="zh-CN"/>
          <w14:ligatures w14:val="none"/>
        </w:rPr>
      </w:pPr>
    </w:p>
    <w:p w14:paraId="1E38C61C">
      <w:pPr>
        <w:suppressAutoHyphens/>
        <w:spacing w:after="0" w:line="100" w:lineRule="atLeast"/>
        <w:jc w:val="both"/>
        <w:rPr>
          <w:rFonts w:ascii="Cambria" w:hAnsi="Cambria" w:eastAsia="Times New Roman" w:cs="Calibri"/>
          <w:color w:val="000000"/>
          <w:lang w:eastAsia="zh-CN"/>
          <w14:ligatures w14:val="none"/>
        </w:rPr>
      </w:pPr>
    </w:p>
    <w:p w14:paraId="0314DF31">
      <w:pPr>
        <w:suppressAutoHyphens/>
        <w:spacing w:after="0" w:line="100" w:lineRule="atLeast"/>
        <w:jc w:val="both"/>
        <w:rPr>
          <w:rFonts w:ascii="Cambria" w:hAnsi="Cambria" w:eastAsia="Times New Roman" w:cs="Calibri"/>
          <w:color w:val="000000"/>
          <w:lang w:eastAsia="zh-CN"/>
          <w14:ligatures w14:val="none"/>
        </w:rPr>
      </w:pPr>
    </w:p>
    <w:p w14:paraId="5B7FE34C">
      <w:pPr>
        <w:suppressAutoHyphens/>
        <w:spacing w:after="0" w:line="100" w:lineRule="atLeast"/>
        <w:jc w:val="both"/>
        <w:rPr>
          <w:rFonts w:ascii="Cambria" w:hAnsi="Cambria" w:eastAsia="Times New Roman" w:cs="Calibri"/>
          <w:color w:val="000000"/>
          <w:lang w:eastAsia="zh-CN"/>
          <w14:ligatures w14:val="none"/>
        </w:rPr>
      </w:pPr>
    </w:p>
    <w:p w14:paraId="4C064833">
      <w:pPr>
        <w:suppressAutoHyphens/>
        <w:spacing w:after="0" w:line="100" w:lineRule="atLeast"/>
        <w:jc w:val="both"/>
        <w:rPr>
          <w:rFonts w:ascii="Cambria" w:hAnsi="Cambria" w:eastAsia="Times New Roman" w:cs="Calibri"/>
          <w:color w:val="000000"/>
          <w:lang w:eastAsia="zh-CN"/>
          <w14:ligatures w14:val="none"/>
        </w:rPr>
      </w:pPr>
    </w:p>
    <w:p w14:paraId="280CA791">
      <w:pPr>
        <w:suppressAutoHyphens/>
        <w:spacing w:after="0" w:line="100" w:lineRule="atLeast"/>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Mônica Vogl</w:t>
      </w:r>
    </w:p>
    <w:p w14:paraId="1E656959">
      <w:pPr>
        <w:suppressAutoHyphens/>
        <w:spacing w:after="0" w:line="100" w:lineRule="atLeast"/>
        <w:jc w:val="both"/>
        <w:rPr>
          <w:rFonts w:ascii="Cambria" w:hAnsi="Cambria" w:eastAsia="Times New Roman" w:cs="Calibri"/>
          <w:color w:val="000000"/>
          <w:lang w:eastAsia="zh-CN"/>
          <w14:ligatures w14:val="none"/>
        </w:rPr>
      </w:pPr>
      <w:r>
        <w:rPr>
          <w:rFonts w:ascii="Cambria" w:hAnsi="Cambria" w:eastAsia="Times New Roman" w:cs="Calibri"/>
          <w:color w:val="000000"/>
          <w:lang w:eastAsia="zh-CN"/>
          <w14:ligatures w14:val="none"/>
        </w:rPr>
        <w:t>Secretária Municipal da Administração</w:t>
      </w:r>
    </w:p>
    <w:p w14:paraId="6246FF47">
      <w:pPr>
        <w:rPr>
          <w:rFonts w:ascii="Cambria" w:hAnsi="Cambria" w:eastAsia="Times New Roman" w:cs="Calibri"/>
          <w:lang w:eastAsia="zh-CN"/>
        </w:rPr>
      </w:pPr>
    </w:p>
    <w:p w14:paraId="47F14DD9">
      <w:pPr>
        <w:rPr>
          <w:rFonts w:ascii="Cambria" w:hAnsi="Cambria" w:eastAsia="Times New Roman" w:cs="Calibri"/>
          <w:lang w:eastAsia="zh-CN"/>
        </w:rPr>
      </w:pPr>
    </w:p>
    <w:p w14:paraId="493DD1AD">
      <w:pPr>
        <w:rPr>
          <w:rFonts w:ascii="Cambria" w:hAnsi="Cambria" w:eastAsia="Times New Roman" w:cs="Calibri"/>
          <w:lang w:eastAsia="zh-CN"/>
        </w:rPr>
      </w:pPr>
    </w:p>
    <w:p w14:paraId="4F6B621B">
      <w:pPr>
        <w:rPr>
          <w:rFonts w:ascii="Cambria" w:hAnsi="Cambria" w:eastAsia="Times New Roman" w:cs="Calibri"/>
          <w:lang w:eastAsia="zh-CN"/>
        </w:rPr>
      </w:pPr>
    </w:p>
    <w:p w14:paraId="47A007AF">
      <w:pPr>
        <w:rPr>
          <w:rFonts w:ascii="Cambria" w:hAnsi="Cambria" w:eastAsia="Times New Roman" w:cs="Calibri"/>
          <w:lang w:eastAsia="zh-CN"/>
        </w:rPr>
      </w:pPr>
    </w:p>
    <w:p w14:paraId="34A5C152">
      <w:pPr>
        <w:rPr>
          <w:rFonts w:ascii="Cambria" w:hAnsi="Cambria" w:eastAsia="Times New Roman" w:cs="Calibri"/>
          <w:lang w:eastAsia="zh-CN"/>
        </w:rPr>
      </w:pPr>
      <w:r>
        <w:rPr>
          <w:rFonts w:ascii="Cambria" w:hAnsi="Cambria" w:eastAsia="Times New Roman" w:cs="Calibri"/>
          <w:lang w:eastAsia="zh-CN"/>
        </w:rPr>
        <w:t>Silvio Fernandes Sanderson</w:t>
      </w:r>
      <w:r>
        <w:rPr>
          <w:rFonts w:ascii="Cambria" w:hAnsi="Cambria" w:eastAsia="Times New Roman" w:cs="Calibri"/>
          <w:lang w:eastAsia="zh-CN"/>
        </w:rPr>
        <w:br w:type="textWrapping"/>
      </w:r>
      <w:r>
        <w:rPr>
          <w:rFonts w:ascii="Cambria" w:hAnsi="Cambria" w:eastAsia="Times New Roman" w:cs="Calibri"/>
          <w:lang w:eastAsia="zh-CN"/>
        </w:rPr>
        <w:t>Secretário Municipal de Obras</w:t>
      </w:r>
    </w:p>
    <w:sectPr>
      <w:headerReference r:id="rId5" w:type="default"/>
      <w:pgSz w:w="11906" w:h="16838"/>
      <w:pgMar w:top="1440" w:right="1080" w:bottom="1440" w:left="1080" w:header="708" w:footer="545"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LiberationSerif-Bold">
    <w:altName w:val="Segoe Print"/>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77A2A">
    <w:pPr>
      <w:tabs>
        <w:tab w:val="left" w:pos="-284"/>
      </w:tabs>
      <w:suppressAutoHyphens/>
      <w:spacing w:after="0" w:line="240" w:lineRule="auto"/>
      <w:ind w:left="-284"/>
      <w:jc w:val="center"/>
      <w:outlineLvl w:val="0"/>
      <w:rPr>
        <w:rFonts w:ascii="Calibri" w:hAnsi="Calibri" w:eastAsia="Times New Roman" w:cs="Calibri"/>
        <w:b/>
        <w:bCs/>
        <w:kern w:val="0"/>
        <w:sz w:val="28"/>
        <w:szCs w:val="28"/>
        <w:lang w:val="pt-PT"/>
        <w14:ligatures w14:val="none"/>
      </w:rPr>
    </w:pPr>
    <w:bookmarkStart w:id="0" w:name="_Hlk163025399"/>
    <w:r>
      <w:rPr>
        <w:rFonts w:ascii="Calibri" w:hAnsi="Calibri" w:eastAsia="Times New Roman" w:cs="Times New Roman"/>
        <w:sz w:val="24"/>
        <w:szCs w:val="24"/>
        <w:lang w:eastAsia="pt-BR"/>
      </w:rPr>
      <w:drawing>
        <wp:anchor distT="0" distB="0" distL="114300" distR="114300" simplePos="0" relativeHeight="251661312" behindDoc="0" locked="0" layoutInCell="1" allowOverlap="1">
          <wp:simplePos x="0" y="0"/>
          <wp:positionH relativeFrom="column">
            <wp:posOffset>4810125</wp:posOffset>
          </wp:positionH>
          <wp:positionV relativeFrom="paragraph">
            <wp:posOffset>-240665</wp:posOffset>
          </wp:positionV>
          <wp:extent cx="895350" cy="895350"/>
          <wp:effectExtent l="0" t="0" r="0" b="0"/>
          <wp:wrapNone/>
          <wp:docPr id="14308885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88857"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95350" cy="895350"/>
                  </a:xfrm>
                  <a:prstGeom prst="rect">
                    <a:avLst/>
                  </a:prstGeom>
                  <a:noFill/>
                  <a:ln>
                    <a:noFill/>
                  </a:ln>
                </pic:spPr>
              </pic:pic>
            </a:graphicData>
          </a:graphic>
        </wp:anchor>
      </w:drawing>
    </w:r>
    <w:r>
      <w:rPr>
        <w:rFonts w:ascii="Calibri" w:hAnsi="Calibri" w:eastAsia="Times New Roman" w:cs="Calibri"/>
        <w:kern w:val="0"/>
        <w:lang w:eastAsia="pt-BR"/>
        <w14:ligatures w14:val="none"/>
      </w:rPr>
      <w:drawing>
        <wp:anchor distT="0" distB="0" distL="0" distR="0" simplePos="0" relativeHeight="251660288" behindDoc="0" locked="0" layoutInCell="1" allowOverlap="1">
          <wp:simplePos x="0" y="0"/>
          <wp:positionH relativeFrom="margin">
            <wp:posOffset>-323850</wp:posOffset>
          </wp:positionH>
          <wp:positionV relativeFrom="paragraph">
            <wp:posOffset>-233680</wp:posOffset>
          </wp:positionV>
          <wp:extent cx="838200" cy="791210"/>
          <wp:effectExtent l="0" t="0" r="0" b="8890"/>
          <wp:wrapNone/>
          <wp:docPr id="1180738954" name="Imagem 1180738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738954" name="Imagem 118073895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838200" cy="791210"/>
                  </a:xfrm>
                  <a:prstGeom prst="rect">
                    <a:avLst/>
                  </a:prstGeom>
                  <a:noFill/>
                  <a:ln>
                    <a:noFill/>
                  </a:ln>
                </pic:spPr>
              </pic:pic>
            </a:graphicData>
          </a:graphic>
        </wp:anchor>
      </w:drawing>
    </w:r>
    <w:r>
      <w:rPr>
        <w:rFonts w:ascii="Calibri" w:hAnsi="Calibri" w:eastAsia="Times New Roman" w:cs="Calibri"/>
        <w:b/>
        <w:bCs/>
        <w:kern w:val="0"/>
        <w:sz w:val="28"/>
        <w:szCs w:val="28"/>
        <w:lang w:val="pt-PT"/>
        <w14:ligatures w14:val="none"/>
      </w:rPr>
      <w:t>ESTADO DO RIO GRANDE DO SUL</w:t>
    </w:r>
  </w:p>
  <w:p w14:paraId="53963F0D">
    <w:pPr>
      <w:tabs>
        <w:tab w:val="left" w:pos="-284"/>
      </w:tabs>
      <w:ind w:left="-284"/>
      <w:jc w:val="center"/>
    </w:pPr>
    <w:r>
      <w:rPr>
        <w:rFonts w:ascii="Calibri" w:hAnsi="Calibri" w:eastAsia="Calibri" w:cs="Times New Roman"/>
        <w:b/>
        <w:kern w:val="0"/>
        <w:sz w:val="26"/>
        <w:szCs w:val="26"/>
        <w:lang w:eastAsia="pt-BR"/>
        <w14:ligatures w14:val="none"/>
      </w:rPr>
      <mc:AlternateContent>
        <mc:Choice Requires="wpg">
          <w:drawing>
            <wp:anchor distT="0" distB="0" distL="114300" distR="114300" simplePos="0" relativeHeight="251659264" behindDoc="1" locked="0" layoutInCell="1" allowOverlap="1">
              <wp:simplePos x="0" y="0"/>
              <wp:positionH relativeFrom="margin">
                <wp:align>center</wp:align>
              </wp:positionH>
              <wp:positionV relativeFrom="paragraph">
                <wp:posOffset>316230</wp:posOffset>
              </wp:positionV>
              <wp:extent cx="6629400" cy="9591040"/>
              <wp:effectExtent l="0" t="0" r="19050" b="10160"/>
              <wp:wrapNone/>
              <wp:docPr id="2009441806" name="Agrupar 2009441806"/>
              <wp:cNvGraphicFramePr/>
              <a:graphic xmlns:a="http://schemas.openxmlformats.org/drawingml/2006/main">
                <a:graphicData uri="http://schemas.microsoft.com/office/word/2010/wordprocessingGroup">
                  <wpg:wgp>
                    <wpg:cNvGrpSpPr/>
                    <wpg:grpSpPr>
                      <a:xfrm>
                        <a:off x="0" y="0"/>
                        <a:ext cx="6629400" cy="9591264"/>
                        <a:chOff x="621" y="1762"/>
                        <a:chExt cx="10620" cy="14465"/>
                      </a:xfrm>
                    </wpg:grpSpPr>
                    <wps:wsp>
                      <wps:cNvPr id="1905753273" name="AutoShape 3"/>
                      <wps:cNvSpPr>
                        <a:spLocks noChangeArrowheads="1"/>
                      </wps:cNvSpPr>
                      <wps:spPr bwMode="auto">
                        <a:xfrm>
                          <a:off x="621" y="1805"/>
                          <a:ext cx="10620" cy="14040"/>
                        </a:xfrm>
                        <a:prstGeom prst="roundRect">
                          <a:avLst>
                            <a:gd name="adj" fmla="val 972"/>
                          </a:avLst>
                        </a:prstGeom>
                        <a:solidFill>
                          <a:srgbClr val="FFFFFF"/>
                        </a:solidFill>
                        <a:ln w="9525">
                          <a:solidFill>
                            <a:srgbClr val="000000"/>
                          </a:solidFill>
                          <a:round/>
                        </a:ln>
                      </wps:spPr>
                      <wps:bodyPr rot="0" vert="horz" wrap="square" lIns="91440" tIns="45720" rIns="91440" bIns="45720" anchor="t" anchorCtr="0" upright="1">
                        <a:noAutofit/>
                      </wps:bodyPr>
                    </wps:wsp>
                    <wps:wsp>
                      <wps:cNvPr id="1511355338" name="Text Box 4"/>
                      <wps:cNvSpPr txBox="1">
                        <a:spLocks noChangeArrowheads="1"/>
                      </wps:cNvSpPr>
                      <wps:spPr bwMode="auto">
                        <a:xfrm>
                          <a:off x="981" y="15351"/>
                          <a:ext cx="9958" cy="876"/>
                        </a:xfrm>
                        <a:prstGeom prst="rect">
                          <a:avLst/>
                        </a:prstGeom>
                        <a:solidFill>
                          <a:srgbClr val="FFFFFF"/>
                        </a:solidFill>
                        <a:ln w="9525">
                          <a:solidFill>
                            <a:srgbClr val="FFFFFF"/>
                          </a:solidFill>
                          <a:miter lim="800000"/>
                        </a:ln>
                      </wps:spPr>
                      <wps:txbx>
                        <w:txbxContent>
                          <w:p w14:paraId="60026A0F">
                            <w:pPr>
                              <w:spacing w:after="0"/>
                              <w:jc w:val="center"/>
                              <w:rPr>
                                <w:rFonts w:cs="Calibri"/>
                                <w:lang w:val="en-US"/>
                              </w:rPr>
                            </w:pPr>
                            <w:r>
                              <w:rPr>
                                <w:rFonts w:cs="Calibri"/>
                                <w:lang w:val="en-US"/>
                              </w:rPr>
                              <w:t>AV. WILLIBALDO KOENIG, 864 – FONE 0800 554 3275 - MORMAÇO /RS - CEP 99315-000</w:t>
                            </w:r>
                          </w:p>
                          <w:p w14:paraId="57ABB117">
                            <w:pPr>
                              <w:spacing w:after="0"/>
                              <w:jc w:val="center"/>
                              <w:rPr>
                                <w:rFonts w:cs="Calibri"/>
                                <w:b/>
                                <w:sz w:val="18"/>
                                <w:szCs w:val="18"/>
                              </w:rPr>
                            </w:pPr>
                            <w:bookmarkStart w:id="1" w:name="_Hlk183502913"/>
                            <w:r>
                              <w:rPr>
                                <w:rFonts w:ascii="Calibri" w:hAnsi="Calibri" w:eastAsia="Calibri"/>
                                <w:b/>
                                <w:bCs/>
                                <w:color w:val="0000FF"/>
                                <w:sz w:val="18"/>
                                <w:szCs w:val="18"/>
                              </w:rPr>
                              <w:fldChar w:fldCharType="begin"/>
                            </w:r>
                            <w:r>
                              <w:rPr>
                                <w:rFonts w:ascii="Calibri" w:hAnsi="Calibri" w:eastAsia="Calibri"/>
                                <w:b/>
                                <w:bCs/>
                                <w:color w:val="0000FF"/>
                                <w:sz w:val="18"/>
                                <w:szCs w:val="18"/>
                              </w:rPr>
                              <w:instrText xml:space="preserve">HYPERLINK "http://www.mormaco.rs.gov.br"</w:instrText>
                            </w:r>
                            <w:r>
                              <w:rPr>
                                <w:rFonts w:ascii="Calibri" w:hAnsi="Calibri" w:eastAsia="Calibri"/>
                                <w:b/>
                                <w:bCs/>
                                <w:color w:val="0000FF"/>
                                <w:sz w:val="18"/>
                                <w:szCs w:val="18"/>
                              </w:rPr>
                              <w:fldChar w:fldCharType="separate"/>
                            </w:r>
                            <w:r>
                              <w:rPr>
                                <w:rStyle w:val="36"/>
                                <w:rFonts w:ascii="Calibri" w:hAnsi="Calibri" w:eastAsia="Calibri"/>
                                <w:b/>
                                <w:bCs/>
                                <w:sz w:val="18"/>
                                <w:szCs w:val="18"/>
                              </w:rPr>
                              <w:t>www.mormaco.rs.gov.br</w:t>
                            </w:r>
                            <w:r>
                              <w:rPr>
                                <w:rFonts w:ascii="Calibri" w:hAnsi="Calibri" w:eastAsia="Calibri"/>
                                <w:b/>
                                <w:bCs/>
                                <w:color w:val="0000FF"/>
                                <w:sz w:val="18"/>
                                <w:szCs w:val="18"/>
                              </w:rPr>
                              <w:fldChar w:fldCharType="end"/>
                            </w:r>
                            <w:r>
                              <w:rPr>
                                <w:rFonts w:ascii="Calibri" w:hAnsi="Calibri" w:eastAsia="Calibri"/>
                                <w:color w:val="0000FF"/>
                                <w:sz w:val="18"/>
                                <w:szCs w:val="18"/>
                              </w:rPr>
                              <w:t xml:space="preserve"> </w:t>
                            </w:r>
                            <w:bookmarkEnd w:id="1"/>
                            <w:r>
                              <w:rPr>
                                <w:rFonts w:cs="Calibri"/>
                                <w:b/>
                                <w:sz w:val="18"/>
                                <w:szCs w:val="18"/>
                              </w:rPr>
                              <w:t>– e-mail: gabinete@mormaco.rs.gov.br</w:t>
                            </w:r>
                          </w:p>
                        </w:txbxContent>
                      </wps:txbx>
                      <wps:bodyPr rot="0" vert="horz" wrap="square" lIns="91440" tIns="45720" rIns="91440" bIns="45720" anchor="t" anchorCtr="0" upright="1">
                        <a:noAutofit/>
                      </wps:bodyPr>
                    </wps:wsp>
                    <wps:wsp>
                      <wps:cNvPr id="1410435054" name="Rectangle 5"/>
                      <wps:cNvSpPr>
                        <a:spLocks noChangeArrowheads="1"/>
                      </wps:cNvSpPr>
                      <wps:spPr bwMode="auto">
                        <a:xfrm>
                          <a:off x="653" y="1762"/>
                          <a:ext cx="10566" cy="369"/>
                        </a:xfrm>
                        <a:prstGeom prst="rect">
                          <a:avLst/>
                        </a:prstGeom>
                        <a:solidFill>
                          <a:srgbClr val="FFFFFF"/>
                        </a:solidFill>
                        <a:ln w="9525">
                          <a:solidFill>
                            <a:srgbClr val="FFFFFF"/>
                          </a:solidFill>
                          <a:miter lim="800000"/>
                        </a:ln>
                      </wps:spPr>
                      <wps:bodyPr rot="0" vert="horz" wrap="square" lIns="91440" tIns="45720" rIns="91440" bIns="45720" anchor="t" anchorCtr="0" upright="1">
                        <a:noAutofit/>
                      </wps:bodyPr>
                    </wps:wsp>
                  </wpg:wgp>
                </a:graphicData>
              </a:graphic>
            </wp:anchor>
          </w:drawing>
        </mc:Choice>
        <mc:Fallback>
          <w:pict>
            <v:group id="Agrupar 2009441806" o:spid="_x0000_s1026" o:spt="203" style="position:absolute;left:0pt;margin-top:24.9pt;height:755.2pt;width:522pt;mso-position-horizontal:center;mso-position-horizontal-relative:margin;z-index:-251657216;mso-width-relative:page;mso-height-relative:page;" coordorigin="621,1762" coordsize="10620,14465" o:gfxdata="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">
              <o:lock v:ext="edit" aspectratio="f"/>
              <v:roundrect id="AutoShape 3" o:spid="_x0000_s1026" o:spt="2" style="position:absolute;left:621;top:1805;height:14040;width:10620;" fillcolor="#FFFFFF" filled="t" stroked="t" coordsize="21600,21600" arcsize="0.00972222222222222" o:gfxdata="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1tCn&#10;DMEAAADjAAAADwAAAAAAAAABACAAAAAiAAAAZHJzL2Rvd25yZXYueG1sUEsBAhQAFAAAAAgAh07i&#10;QDMvBZ47AAAAOQAAABAAAAAAAAAAAQAgAAAAEAEAAGRycy9zaGFwZXhtbC54bWxQSwUGAAAAAAYA&#10;BgBbAQAAugMAAAAA&#10;">
                <v:fill on="t" focussize="0,0"/>
                <v:stroke color="#000000" joinstyle="round"/>
                <v:imagedata o:title=""/>
                <o:lock v:ext="edit" aspectratio="f"/>
              </v:roundrect>
              <v:shape id="Text Box 4" o:spid="_x0000_s1026" o:spt="202" type="#_x0000_t202" style="position:absolute;left:981;top:15351;height:876;width:9958;" fillcolor="#FFFFFF" filled="t" stroked="t" coordsize="21600,21600" o:gfxdata="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0ViKZ8QAAADjAAAADwAAAAAAAAABACAAAAAiAAAAZHJzL2Rvd25yZXYueG1sUEsBAhQAFAAAAAgA&#10;h07iQDMvBZ47AAAAOQAAABAAAAAAAAAAAQAgAAAAEwEAAGRycy9zaGFwZXhtbC54bWxQSwUGAAAA&#10;AAYABgBbAQAAvQMAAAAA&#10;">
                <v:fill on="t" focussize="0,0"/>
                <v:stroke color="#FFFFFF" miterlimit="8" joinstyle="miter"/>
                <v:imagedata o:title=""/>
                <o:lock v:ext="edit" aspectratio="f"/>
                <v:textbox>
                  <w:txbxContent>
                    <w:p w14:paraId="60026A0F">
                      <w:pPr>
                        <w:spacing w:after="0"/>
                        <w:jc w:val="center"/>
                        <w:rPr>
                          <w:rFonts w:cs="Calibri"/>
                          <w:lang w:val="en-US"/>
                        </w:rPr>
                      </w:pPr>
                      <w:r>
                        <w:rPr>
                          <w:rFonts w:cs="Calibri"/>
                          <w:lang w:val="en-US"/>
                        </w:rPr>
                        <w:t>AV. WILLIBALDO KOENIG, 864 – FONE 0800 554 3275 - MORMAÇO /RS - CEP 99315-000</w:t>
                      </w:r>
                    </w:p>
                    <w:p w14:paraId="57ABB117">
                      <w:pPr>
                        <w:spacing w:after="0"/>
                        <w:jc w:val="center"/>
                        <w:rPr>
                          <w:rFonts w:cs="Calibri"/>
                          <w:b/>
                          <w:sz w:val="18"/>
                          <w:szCs w:val="18"/>
                        </w:rPr>
                      </w:pPr>
                      <w:bookmarkStart w:id="1" w:name="_Hlk183502913"/>
                      <w:r>
                        <w:rPr>
                          <w:rFonts w:ascii="Calibri" w:hAnsi="Calibri" w:eastAsia="Calibri"/>
                          <w:b/>
                          <w:bCs/>
                          <w:color w:val="0000FF"/>
                          <w:sz w:val="18"/>
                          <w:szCs w:val="18"/>
                        </w:rPr>
                        <w:fldChar w:fldCharType="begin"/>
                      </w:r>
                      <w:r>
                        <w:rPr>
                          <w:rFonts w:ascii="Calibri" w:hAnsi="Calibri" w:eastAsia="Calibri"/>
                          <w:b/>
                          <w:bCs/>
                          <w:color w:val="0000FF"/>
                          <w:sz w:val="18"/>
                          <w:szCs w:val="18"/>
                        </w:rPr>
                        <w:instrText xml:space="preserve">HYPERLINK "http://www.mormaco.rs.gov.br"</w:instrText>
                      </w:r>
                      <w:r>
                        <w:rPr>
                          <w:rFonts w:ascii="Calibri" w:hAnsi="Calibri" w:eastAsia="Calibri"/>
                          <w:b/>
                          <w:bCs/>
                          <w:color w:val="0000FF"/>
                          <w:sz w:val="18"/>
                          <w:szCs w:val="18"/>
                        </w:rPr>
                        <w:fldChar w:fldCharType="separate"/>
                      </w:r>
                      <w:r>
                        <w:rPr>
                          <w:rStyle w:val="36"/>
                          <w:rFonts w:ascii="Calibri" w:hAnsi="Calibri" w:eastAsia="Calibri"/>
                          <w:b/>
                          <w:bCs/>
                          <w:sz w:val="18"/>
                          <w:szCs w:val="18"/>
                        </w:rPr>
                        <w:t>www.mormaco.rs.gov.br</w:t>
                      </w:r>
                      <w:r>
                        <w:rPr>
                          <w:rFonts w:ascii="Calibri" w:hAnsi="Calibri" w:eastAsia="Calibri"/>
                          <w:b/>
                          <w:bCs/>
                          <w:color w:val="0000FF"/>
                          <w:sz w:val="18"/>
                          <w:szCs w:val="18"/>
                        </w:rPr>
                        <w:fldChar w:fldCharType="end"/>
                      </w:r>
                      <w:r>
                        <w:rPr>
                          <w:rFonts w:ascii="Calibri" w:hAnsi="Calibri" w:eastAsia="Calibri"/>
                          <w:color w:val="0000FF"/>
                          <w:sz w:val="18"/>
                          <w:szCs w:val="18"/>
                        </w:rPr>
                        <w:t xml:space="preserve"> </w:t>
                      </w:r>
                      <w:bookmarkEnd w:id="1"/>
                      <w:r>
                        <w:rPr>
                          <w:rFonts w:cs="Calibri"/>
                          <w:b/>
                          <w:sz w:val="18"/>
                          <w:szCs w:val="18"/>
                        </w:rPr>
                        <w:t>– e-mail: gabinete@mormaco.rs.gov.br</w:t>
                      </w:r>
                    </w:p>
                  </w:txbxContent>
                </v:textbox>
              </v:shape>
              <v:rect id="Rectangle 5" o:spid="_x0000_s1026" o:spt="1" style="position:absolute;left:653;top:1762;height:369;width:10566;" fillcolor="#FFFFFF" filled="t" stroked="t" coordsize="21600,21600" o:gfxdata="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sbrpv&#10;wAAAAOMAAAAPAAAAAAAAAAEAIAAAACIAAABkcnMvZG93bnJldi54bWxQSwECFAAUAAAACACHTuJA&#10;My8FnjsAAAA5AAAAEAAAAAAAAAABACAAAAAPAQAAZHJzL3NoYXBleG1sLnhtbFBLBQYAAAAABgAG&#10;AFsBAAC5AwAAAAA=&#10;">
                <v:fill on="t" focussize="0,0"/>
                <v:stroke color="#FFFFFF" miterlimit="8" joinstyle="miter"/>
                <v:imagedata o:title=""/>
                <o:lock v:ext="edit" aspectratio="f"/>
              </v:rect>
            </v:group>
          </w:pict>
        </mc:Fallback>
      </mc:AlternateContent>
    </w:r>
    <w:r>
      <w:rPr>
        <w:rFonts w:ascii="Calibri" w:hAnsi="Calibri" w:eastAsia="Times New Roman" w:cs="Calibri"/>
        <w:b/>
        <w:bCs/>
        <w:kern w:val="0"/>
        <w:sz w:val="28"/>
        <w:szCs w:val="28"/>
        <w:lang w:val="pt-PT"/>
        <w14:ligatures w14:val="none"/>
      </w:rPr>
      <w:t>PREFEITURA</w:t>
    </w:r>
    <w:r>
      <w:rPr>
        <w:rFonts w:ascii="Calibri" w:hAnsi="Calibri" w:eastAsia="Times New Roman" w:cs="Calibri"/>
        <w:b/>
        <w:bCs/>
        <w:spacing w:val="-6"/>
        <w:kern w:val="0"/>
        <w:sz w:val="28"/>
        <w:szCs w:val="28"/>
        <w:lang w:val="pt-PT"/>
        <w14:ligatures w14:val="none"/>
      </w:rPr>
      <w:t xml:space="preserve"> </w:t>
    </w:r>
    <w:r>
      <w:rPr>
        <w:rFonts w:ascii="Calibri" w:hAnsi="Calibri" w:eastAsia="Times New Roman" w:cs="Calibri"/>
        <w:b/>
        <w:bCs/>
        <w:kern w:val="0"/>
        <w:sz w:val="28"/>
        <w:szCs w:val="28"/>
        <w:lang w:val="pt-PT"/>
        <w14:ligatures w14:val="none"/>
      </w:rPr>
      <w:t>MUNICIPAL</w:t>
    </w:r>
    <w:r>
      <w:rPr>
        <w:rFonts w:ascii="Calibri" w:hAnsi="Calibri" w:eastAsia="Times New Roman" w:cs="Calibri"/>
        <w:b/>
        <w:bCs/>
        <w:spacing w:val="-7"/>
        <w:kern w:val="0"/>
        <w:sz w:val="28"/>
        <w:szCs w:val="28"/>
        <w:lang w:val="pt-PT"/>
        <w14:ligatures w14:val="none"/>
      </w:rPr>
      <w:t xml:space="preserve"> </w:t>
    </w:r>
    <w:r>
      <w:rPr>
        <w:rFonts w:ascii="Calibri" w:hAnsi="Calibri" w:eastAsia="Times New Roman" w:cs="Calibri"/>
        <w:b/>
        <w:bCs/>
        <w:kern w:val="0"/>
        <w:sz w:val="28"/>
        <w:szCs w:val="28"/>
        <w:lang w:val="pt-PT"/>
        <w14:ligatures w14:val="none"/>
      </w:rPr>
      <w:t>DE</w:t>
    </w:r>
    <w:r>
      <w:rPr>
        <w:rFonts w:ascii="Calibri" w:hAnsi="Calibri" w:eastAsia="Times New Roman" w:cs="Calibri"/>
        <w:b/>
        <w:bCs/>
        <w:spacing w:val="-4"/>
        <w:kern w:val="0"/>
        <w:sz w:val="28"/>
        <w:szCs w:val="28"/>
        <w:lang w:val="pt-PT"/>
        <w14:ligatures w14:val="none"/>
      </w:rPr>
      <w:t xml:space="preserve"> </w:t>
    </w:r>
    <w:r>
      <w:rPr>
        <w:rFonts w:ascii="Calibri" w:hAnsi="Calibri" w:eastAsia="Times New Roman" w:cs="Calibri"/>
        <w:b/>
        <w:bCs/>
        <w:kern w:val="0"/>
        <w:sz w:val="28"/>
        <w:szCs w:val="28"/>
        <w:lang w:val="pt-PT"/>
        <w14:ligatures w14:val="none"/>
      </w:rPr>
      <w:t>MORMAÇO</w:t>
    </w:r>
    <w:bookmarkEnd w:id="0"/>
  </w:p>
  <w:p w14:paraId="20F6BBAF">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8F498C"/>
    <w:multiLevelType w:val="multilevel"/>
    <w:tmpl w:val="208F498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FD"/>
    <w:rsid w:val="00025FDE"/>
    <w:rsid w:val="00043EB4"/>
    <w:rsid w:val="000A3486"/>
    <w:rsid w:val="000B5993"/>
    <w:rsid w:val="001A32C2"/>
    <w:rsid w:val="0029442B"/>
    <w:rsid w:val="003B5377"/>
    <w:rsid w:val="00425174"/>
    <w:rsid w:val="0044473C"/>
    <w:rsid w:val="004714B2"/>
    <w:rsid w:val="00511D5A"/>
    <w:rsid w:val="005A3E20"/>
    <w:rsid w:val="005B371A"/>
    <w:rsid w:val="006044E5"/>
    <w:rsid w:val="0066565E"/>
    <w:rsid w:val="006B7718"/>
    <w:rsid w:val="00702DF5"/>
    <w:rsid w:val="00764D41"/>
    <w:rsid w:val="007A2DEA"/>
    <w:rsid w:val="008056FF"/>
    <w:rsid w:val="008A4A86"/>
    <w:rsid w:val="008D1154"/>
    <w:rsid w:val="008D5266"/>
    <w:rsid w:val="008E7C90"/>
    <w:rsid w:val="00A70C96"/>
    <w:rsid w:val="00B44672"/>
    <w:rsid w:val="00B76FA9"/>
    <w:rsid w:val="00B969B7"/>
    <w:rsid w:val="00BE13A9"/>
    <w:rsid w:val="00C8464C"/>
    <w:rsid w:val="00D5320D"/>
    <w:rsid w:val="00DA2110"/>
    <w:rsid w:val="00DD0178"/>
    <w:rsid w:val="00E77356"/>
    <w:rsid w:val="00EF5042"/>
    <w:rsid w:val="00F07A19"/>
    <w:rsid w:val="00FA1D99"/>
    <w:rsid w:val="00FA4E53"/>
    <w:rsid w:val="00FE7AFD"/>
    <w:rsid w:val="33E565D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pt-BR" w:eastAsia="en-US" w:bidi="ar-SA"/>
      <w14:ligatures w14:val="standardContextual"/>
    </w:rPr>
  </w:style>
  <w:style w:type="paragraph" w:styleId="2">
    <w:name w:val="heading 1"/>
    <w:basedOn w:val="1"/>
    <w:next w:val="1"/>
    <w:link w:val="18"/>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0"/>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1"/>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2"/>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3"/>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4"/>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6"/>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Hyperlink"/>
    <w:basedOn w:val="11"/>
    <w:semiHidden/>
    <w:unhideWhenUsed/>
    <w:uiPriority w:val="99"/>
    <w:rPr>
      <w:color w:val="0563C1" w:themeColor="hyperlink"/>
      <w:u w:val="single"/>
      <w14:textFill>
        <w14:solidFill>
          <w14:schemeClr w14:val="hlink"/>
        </w14:solidFill>
      </w14:textFill>
    </w:rPr>
  </w:style>
  <w:style w:type="paragraph" w:styleId="14">
    <w:name w:val="Title"/>
    <w:basedOn w:val="1"/>
    <w:next w:val="1"/>
    <w:link w:val="27"/>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5">
    <w:name w:val="header"/>
    <w:basedOn w:val="1"/>
    <w:link w:val="37"/>
    <w:unhideWhenUsed/>
    <w:uiPriority w:val="99"/>
    <w:pPr>
      <w:tabs>
        <w:tab w:val="center" w:pos="4252"/>
        <w:tab w:val="right" w:pos="8504"/>
      </w:tabs>
      <w:spacing w:after="0" w:line="240" w:lineRule="auto"/>
    </w:pPr>
  </w:style>
  <w:style w:type="paragraph" w:styleId="16">
    <w:name w:val="footer"/>
    <w:basedOn w:val="1"/>
    <w:link w:val="38"/>
    <w:unhideWhenUsed/>
    <w:uiPriority w:val="99"/>
    <w:pPr>
      <w:tabs>
        <w:tab w:val="center" w:pos="4252"/>
        <w:tab w:val="right" w:pos="8504"/>
      </w:tabs>
      <w:spacing w:after="0" w:line="240" w:lineRule="auto"/>
    </w:pPr>
  </w:style>
  <w:style w:type="paragraph" w:styleId="17">
    <w:name w:val="Subtitle"/>
    <w:basedOn w:val="1"/>
    <w:next w:val="1"/>
    <w:link w:val="2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character" w:customStyle="1" w:styleId="18">
    <w:name w:val="Título 1 Char"/>
    <w:basedOn w:val="11"/>
    <w:link w:val="2"/>
    <w:uiPriority w:val="9"/>
    <w:rPr>
      <w:rFonts w:asciiTheme="majorHAnsi" w:hAnsiTheme="majorHAnsi" w:eastAsiaTheme="majorEastAsia" w:cstheme="majorBidi"/>
      <w:color w:val="2F5597" w:themeColor="accent1" w:themeShade="BF"/>
      <w:sz w:val="40"/>
      <w:szCs w:val="40"/>
    </w:rPr>
  </w:style>
  <w:style w:type="character" w:customStyle="1" w:styleId="19">
    <w:name w:val="Título 2 Char"/>
    <w:basedOn w:val="11"/>
    <w:link w:val="3"/>
    <w:semiHidden/>
    <w:uiPriority w:val="9"/>
    <w:rPr>
      <w:rFonts w:asciiTheme="majorHAnsi" w:hAnsiTheme="majorHAnsi" w:eastAsiaTheme="majorEastAsia" w:cstheme="majorBidi"/>
      <w:color w:val="2F5597" w:themeColor="accent1" w:themeShade="BF"/>
      <w:sz w:val="32"/>
      <w:szCs w:val="32"/>
    </w:rPr>
  </w:style>
  <w:style w:type="character" w:customStyle="1" w:styleId="20">
    <w:name w:val="Título 3 Char"/>
    <w:basedOn w:val="11"/>
    <w:link w:val="4"/>
    <w:semiHidden/>
    <w:qFormat/>
    <w:uiPriority w:val="9"/>
    <w:rPr>
      <w:rFonts w:eastAsiaTheme="majorEastAsia" w:cstheme="majorBidi"/>
      <w:color w:val="2F5597" w:themeColor="accent1" w:themeShade="BF"/>
      <w:sz w:val="28"/>
      <w:szCs w:val="28"/>
    </w:rPr>
  </w:style>
  <w:style w:type="character" w:customStyle="1" w:styleId="21">
    <w:name w:val="Título 4 Char"/>
    <w:basedOn w:val="11"/>
    <w:link w:val="5"/>
    <w:semiHidden/>
    <w:qFormat/>
    <w:uiPriority w:val="9"/>
    <w:rPr>
      <w:rFonts w:eastAsiaTheme="majorEastAsia" w:cstheme="majorBidi"/>
      <w:i/>
      <w:iCs/>
      <w:color w:val="2F5597" w:themeColor="accent1" w:themeShade="BF"/>
    </w:rPr>
  </w:style>
  <w:style w:type="character" w:customStyle="1" w:styleId="22">
    <w:name w:val="Título 5 Char"/>
    <w:basedOn w:val="11"/>
    <w:link w:val="6"/>
    <w:semiHidden/>
    <w:qFormat/>
    <w:uiPriority w:val="9"/>
    <w:rPr>
      <w:rFonts w:eastAsiaTheme="majorEastAsia" w:cstheme="majorBidi"/>
      <w:color w:val="2F5597" w:themeColor="accent1" w:themeShade="BF"/>
    </w:rPr>
  </w:style>
  <w:style w:type="character" w:customStyle="1" w:styleId="23">
    <w:name w:val="Título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4">
    <w:name w:val="Título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Título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6">
    <w:name w:val="Título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7">
    <w:name w:val="Título Char"/>
    <w:basedOn w:val="11"/>
    <w:link w:val="14"/>
    <w:uiPriority w:val="10"/>
    <w:rPr>
      <w:rFonts w:asciiTheme="majorHAnsi" w:hAnsiTheme="majorHAnsi" w:eastAsiaTheme="majorEastAsia" w:cstheme="majorBidi"/>
      <w:spacing w:val="-10"/>
      <w:kern w:val="28"/>
      <w:sz w:val="56"/>
      <w:szCs w:val="56"/>
    </w:rPr>
  </w:style>
  <w:style w:type="character" w:customStyle="1" w:styleId="28">
    <w:name w:val="Subtítulo Char"/>
    <w:basedOn w:val="11"/>
    <w:link w:val="17"/>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Citação Char"/>
    <w:basedOn w:val="11"/>
    <w:link w:val="29"/>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ind w:left="720"/>
      <w:contextualSpacing/>
    </w:pPr>
  </w:style>
  <w:style w:type="character" w:customStyle="1" w:styleId="32">
    <w:name w:val="Intense Emphasis"/>
    <w:basedOn w:val="11"/>
    <w:qFormat/>
    <w:uiPriority w:val="21"/>
    <w:rPr>
      <w:i/>
      <w:iCs/>
      <w:color w:val="2F5597" w:themeColor="accent1" w:themeShade="BF"/>
    </w:rPr>
  </w:style>
  <w:style w:type="paragraph" w:styleId="33">
    <w:name w:val="Intense Quote"/>
    <w:basedOn w:val="1"/>
    <w:next w:val="1"/>
    <w:link w:val="34"/>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4">
    <w:name w:val="Citação Intensa Char"/>
    <w:basedOn w:val="11"/>
    <w:link w:val="33"/>
    <w:uiPriority w:val="30"/>
    <w:rPr>
      <w:i/>
      <w:iCs/>
      <w:color w:val="2F5597" w:themeColor="accent1" w:themeShade="BF"/>
    </w:rPr>
  </w:style>
  <w:style w:type="character" w:customStyle="1" w:styleId="35">
    <w:name w:val="Intense Reference"/>
    <w:basedOn w:val="11"/>
    <w:qFormat/>
    <w:uiPriority w:val="32"/>
    <w:rPr>
      <w:b/>
      <w:bCs/>
      <w:smallCaps/>
      <w:color w:val="2F5597" w:themeColor="accent1" w:themeShade="BF"/>
      <w:spacing w:val="5"/>
    </w:rPr>
  </w:style>
  <w:style w:type="character" w:customStyle="1" w:styleId="36">
    <w:name w:val="Hyperlink1"/>
    <w:basedOn w:val="11"/>
    <w:unhideWhenUsed/>
    <w:uiPriority w:val="99"/>
    <w:rPr>
      <w:color w:val="0563C1"/>
      <w:u w:val="single"/>
    </w:rPr>
  </w:style>
  <w:style w:type="character" w:customStyle="1" w:styleId="37">
    <w:name w:val="Cabeçalho Char"/>
    <w:basedOn w:val="11"/>
    <w:link w:val="15"/>
    <w:uiPriority w:val="99"/>
  </w:style>
  <w:style w:type="character" w:customStyle="1" w:styleId="38">
    <w:name w:val="Rodapé Char"/>
    <w:basedOn w:val="11"/>
    <w:link w:val="16"/>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1316</Words>
  <Characters>8054</Characters>
  <Lines>66</Lines>
  <Paragraphs>18</Paragraphs>
  <TotalTime>0</TotalTime>
  <ScaleCrop>false</ScaleCrop>
  <LinksUpToDate>false</LinksUpToDate>
  <CharactersWithSpaces>9238</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2026-04-20T14:03:00Z</dcterms:created>
  <dc:creator>Genaro Batista</dc:creator>
  <cp:lastModifiedBy>User</cp:lastModifiedBy>
  <dcterms:modified xsi:type="dcterms:W3CDTF">2026-04-20T14:38:37Z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eyJoZGlkIjoiMzg2NzYwYmMwMTNkNTVlOGE1YTNhMDc0MjY0MjRiNjkifQ==</vt:lpwstr>
  </property>
  <property fmtid="{D5CDD505-2E9C-101B-9397-08002B2CF9AE}" pid="3" name="KSOProductBuildVer">
    <vt:lpwstr>1046-12.1.0.25242</vt:lpwstr>
  </property>
  <property fmtid="{D5CDD505-2E9C-101B-9397-08002B2CF9AE}" pid="4" name="ICV">
    <vt:lpwstr>C7066AC64DD1465D9E43750BBBEA5B09_12</vt:lpwstr>
  </property>
</Properties>
</file>