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beforeLines="0" w:afterLines="0"/>
        <w:jc w:val="both"/>
        <w:rPr>
          <w:rFonts w:hint="default" w:ascii="Times New Roman" w:hAnsi="Times New Roman" w:cs="Times New Roman"/>
          <w:sz w:val="24"/>
          <w:szCs w:val="24"/>
        </w:rPr>
      </w:pPr>
    </w:p>
    <w:p>
      <w:pPr>
        <w:spacing w:beforeLines="0" w:afterLines="0"/>
        <w:jc w:val="center"/>
        <w:rPr>
          <w:rFonts w:hint="default" w:ascii="Times New Roman" w:hAnsi="Times New Roman" w:cs="Times New Roman"/>
          <w:b/>
          <w:sz w:val="24"/>
          <w:szCs w:val="24"/>
        </w:rPr>
      </w:pPr>
      <w:r>
        <w:rPr>
          <w:rFonts w:hint="default" w:ascii="Times New Roman" w:hAnsi="Times New Roman" w:cs="Times New Roman"/>
          <w:b/>
          <w:sz w:val="24"/>
          <w:szCs w:val="24"/>
        </w:rPr>
        <w:t xml:space="preserve">ATA DE REGISTRO DE PREÇO N° </w:t>
      </w:r>
      <w:r>
        <w:rPr>
          <w:rFonts w:hint="default" w:ascii="Times New Roman" w:hAnsi="Times New Roman" w:cs="Times New Roman"/>
          <w:b/>
          <w:sz w:val="24"/>
          <w:szCs w:val="24"/>
          <w:lang w:val="pt-BR"/>
        </w:rPr>
        <w:t>06</w:t>
      </w:r>
      <w:r>
        <w:rPr>
          <w:rFonts w:hint="default" w:ascii="Times New Roman" w:hAnsi="Times New Roman" w:cs="Times New Roman"/>
          <w:b/>
          <w:sz w:val="24"/>
          <w:szCs w:val="24"/>
        </w:rPr>
        <w:t>/2022</w:t>
      </w:r>
    </w:p>
    <w:p>
      <w:pPr>
        <w:spacing w:beforeLines="0" w:afterLines="0"/>
        <w:jc w:val="center"/>
        <w:rPr>
          <w:rFonts w:hint="default" w:ascii="Times New Roman" w:hAnsi="Times New Roman" w:cs="Times New Roman"/>
          <w:b/>
          <w:sz w:val="24"/>
          <w:szCs w:val="24"/>
        </w:rPr>
      </w:pPr>
      <w:r>
        <w:rPr>
          <w:rFonts w:hint="default" w:ascii="Times New Roman" w:hAnsi="Times New Roman" w:cs="Times New Roman"/>
          <w:b/>
          <w:sz w:val="24"/>
          <w:szCs w:val="24"/>
        </w:rPr>
        <w:t>PROCESSO LICITATÓRIO Nº 06/2022</w:t>
      </w:r>
    </w:p>
    <w:p>
      <w:pPr>
        <w:spacing w:beforeLines="0" w:afterLines="0"/>
        <w:jc w:val="center"/>
        <w:rPr>
          <w:rFonts w:hint="default" w:ascii="Times New Roman" w:hAnsi="Times New Roman" w:cs="Times New Roman"/>
          <w:b/>
          <w:sz w:val="24"/>
          <w:szCs w:val="24"/>
        </w:rPr>
      </w:pPr>
      <w:r>
        <w:rPr>
          <w:rFonts w:hint="default" w:ascii="Times New Roman" w:hAnsi="Times New Roman" w:cs="Times New Roman"/>
          <w:b/>
          <w:sz w:val="24"/>
          <w:szCs w:val="24"/>
        </w:rPr>
        <w:t>PREGÃO PRESENCIAL REGISTRO DE PREÇO N° 03/2022</w:t>
      </w:r>
    </w:p>
    <w:p>
      <w:pPr>
        <w:spacing w:beforeLines="0" w:afterLines="0"/>
        <w:jc w:val="center"/>
        <w:rPr>
          <w:rFonts w:hint="default" w:ascii="Times New Roman" w:hAnsi="Times New Roman" w:cs="Times New Roman"/>
          <w:sz w:val="24"/>
          <w:szCs w:val="24"/>
        </w:rPr>
      </w:pP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 xml:space="preserve">Aos xx dias do mês de xxxx do ano de dois mil e vinte e dois, o MUNICÍPIO DE PLANALTO/RS, pessoa jurídica de direto público interno, inscrito no CNPJ sob nº 87.612.891/0001-15, com sede administrativa na Rua Humberto de Campos, nº 732, Centro, na cidade de Planalto, Estado do Rio Grande do Sul, CEP 98.470-000, neste ato representado por seu Prefeito Municipal Sr. CRISTIANO GNOATTO, brasileiro, inscrito no CPF sob nº 636.783.570-91 e portador da cédula de identidade nº 6064114777, residente e domiciliado na Rua D. Pedro II, n° 1051, nesta cidade de Planalto/RS, doravante denominado simplesmente ÓRGÃO GERENCIADOR, resolve registrar o preço oferecido pela empresa </w:t>
      </w:r>
      <w:r>
        <w:rPr>
          <w:rFonts w:hint="default" w:ascii="Times New Roman" w:hAnsi="Times New Roman" w:cs="Times New Roman"/>
          <w:sz w:val="24"/>
          <w:szCs w:val="24"/>
          <w:lang w:val="pt-BR"/>
        </w:rPr>
        <w:t xml:space="preserve">UNIMPOVEIS COMÉRCIO DE MÓVEIS LTDA, </w:t>
      </w:r>
      <w:r>
        <w:rPr>
          <w:rFonts w:hint="default" w:ascii="Times New Roman" w:hAnsi="Times New Roman" w:cs="Times New Roman"/>
          <w:sz w:val="24"/>
          <w:szCs w:val="24"/>
        </w:rPr>
        <w:t xml:space="preserve">pessoa jurídica de direito privado, estabelecida na Rua </w:t>
      </w:r>
      <w:r>
        <w:rPr>
          <w:rFonts w:hint="default" w:ascii="Times New Roman" w:hAnsi="Times New Roman" w:cs="Times New Roman"/>
          <w:sz w:val="24"/>
          <w:szCs w:val="24"/>
          <w:lang w:val="pt-BR"/>
        </w:rPr>
        <w:t>Venâncio Aires, 211,</w:t>
      </w:r>
      <w:r>
        <w:rPr>
          <w:rFonts w:hint="default" w:ascii="Times New Roman" w:hAnsi="Times New Roman" w:cs="Times New Roman"/>
          <w:sz w:val="24"/>
          <w:szCs w:val="24"/>
        </w:rPr>
        <w:t xml:space="preserve"> na cidade de </w:t>
      </w:r>
      <w:r>
        <w:rPr>
          <w:rFonts w:hint="default" w:ascii="Times New Roman" w:hAnsi="Times New Roman" w:cs="Times New Roman"/>
          <w:sz w:val="24"/>
          <w:szCs w:val="24"/>
          <w:lang w:val="pt-BR"/>
        </w:rPr>
        <w:t>Estrela,</w:t>
      </w:r>
      <w:r>
        <w:rPr>
          <w:rFonts w:hint="default" w:ascii="Times New Roman" w:hAnsi="Times New Roman" w:cs="Times New Roman"/>
          <w:sz w:val="24"/>
          <w:szCs w:val="24"/>
        </w:rPr>
        <w:t xml:space="preserve"> Estado d</w:t>
      </w:r>
      <w:r>
        <w:rPr>
          <w:rFonts w:hint="default" w:ascii="Times New Roman" w:hAnsi="Times New Roman" w:cs="Times New Roman"/>
          <w:sz w:val="24"/>
          <w:szCs w:val="24"/>
          <w:lang w:val="pt-BR"/>
        </w:rPr>
        <w:t>o Rio Grande do Sul</w:t>
      </w:r>
      <w:r>
        <w:rPr>
          <w:rFonts w:hint="default" w:ascii="Times New Roman" w:hAnsi="Times New Roman" w:cs="Times New Roman"/>
          <w:sz w:val="24"/>
          <w:szCs w:val="24"/>
        </w:rPr>
        <w:t xml:space="preserve">, inscrita no CNPJ sob n° </w:t>
      </w:r>
      <w:r>
        <w:rPr>
          <w:rFonts w:hint="default" w:ascii="Times New Roman" w:hAnsi="Times New Roman" w:cs="Times New Roman"/>
          <w:sz w:val="24"/>
          <w:szCs w:val="24"/>
          <w:lang w:val="pt-BR"/>
        </w:rPr>
        <w:t>07.189.487/0001-44</w:t>
      </w:r>
      <w:r>
        <w:rPr>
          <w:rFonts w:hint="default" w:ascii="Times New Roman" w:hAnsi="Times New Roman" w:cs="Times New Roman"/>
          <w:sz w:val="24"/>
          <w:szCs w:val="24"/>
        </w:rPr>
        <w:t>, neste ato representada pelo (a) Sr. (a)</w:t>
      </w:r>
      <w:r>
        <w:rPr>
          <w:rFonts w:hint="default" w:ascii="Times New Roman" w:hAnsi="Times New Roman" w:cs="Times New Roman"/>
          <w:sz w:val="24"/>
          <w:szCs w:val="24"/>
          <w:lang w:val="pt-BR"/>
        </w:rPr>
        <w:t xml:space="preserve"> Carlos José Baldissera</w:t>
      </w:r>
      <w:r>
        <w:rPr>
          <w:rFonts w:hint="default" w:ascii="Times New Roman" w:hAnsi="Times New Roman" w:cs="Times New Roman"/>
          <w:sz w:val="24"/>
          <w:szCs w:val="24"/>
        </w:rPr>
        <w:t xml:space="preserve">, inscrita no CPF/MF sob n° </w:t>
      </w:r>
      <w:r>
        <w:rPr>
          <w:rFonts w:hint="default" w:ascii="Times New Roman" w:hAnsi="Times New Roman" w:cs="Times New Roman"/>
          <w:sz w:val="24"/>
          <w:szCs w:val="24"/>
          <w:lang w:val="pt-BR"/>
        </w:rPr>
        <w:t>481.808.070-53</w:t>
      </w:r>
      <w:r>
        <w:rPr>
          <w:rFonts w:hint="default" w:ascii="Times New Roman" w:hAnsi="Times New Roman" w:cs="Times New Roman"/>
          <w:sz w:val="24"/>
          <w:szCs w:val="24"/>
        </w:rPr>
        <w:t xml:space="preserve"> e portador da cédula de identidade n° </w:t>
      </w:r>
      <w:r>
        <w:rPr>
          <w:rFonts w:hint="default" w:ascii="Times New Roman" w:hAnsi="Times New Roman" w:cs="Times New Roman"/>
          <w:sz w:val="24"/>
          <w:szCs w:val="24"/>
          <w:lang w:val="pt-BR"/>
        </w:rPr>
        <w:t>6039936941</w:t>
      </w:r>
      <w:r>
        <w:rPr>
          <w:rFonts w:hint="default" w:ascii="Times New Roman" w:hAnsi="Times New Roman" w:cs="Times New Roman"/>
          <w:sz w:val="24"/>
          <w:szCs w:val="24"/>
        </w:rPr>
        <w:t>, denominado simplesmente FORNECEDOR REGISTRADO.</w:t>
      </w:r>
    </w:p>
    <w:p>
      <w:pPr>
        <w:spacing w:beforeLines="0" w:afterLines="0"/>
        <w:jc w:val="both"/>
        <w:rPr>
          <w:rFonts w:hint="default" w:ascii="Times New Roman" w:hAnsi="Times New Roman" w:cs="Times New Roman"/>
          <w:sz w:val="24"/>
          <w:szCs w:val="24"/>
        </w:rPr>
      </w:pP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Este instrumento guarda inteira conformidade com os termos do Pregão Presencial para Registro de Preços 03/2022 e seus Anexos, do qual é parte integrante e complementar, regendo-se o mesmo pela Lei Federal n.º 8.666, de 21 de junho de 1993, lei nº 10.520/02 e pela legislação pertinente, pelos termos da proposta e pelas cláusulas a seguir expressas.</w:t>
      </w:r>
    </w:p>
    <w:p>
      <w:pPr>
        <w:spacing w:beforeLines="0" w:afterLines="0"/>
        <w:jc w:val="both"/>
        <w:rPr>
          <w:rFonts w:hint="default" w:ascii="Times New Roman" w:hAnsi="Times New Roman" w:cs="Times New Roman"/>
          <w:sz w:val="24"/>
          <w:szCs w:val="24"/>
        </w:rPr>
      </w:pPr>
    </w:p>
    <w:p>
      <w:pPr>
        <w:spacing w:beforeLines="0" w:afterLines="0"/>
        <w:jc w:val="both"/>
        <w:rPr>
          <w:rFonts w:hint="default" w:ascii="Times New Roman" w:hAnsi="Times New Roman" w:cs="Times New Roman"/>
          <w:b/>
          <w:sz w:val="24"/>
          <w:szCs w:val="24"/>
        </w:rPr>
      </w:pPr>
      <w:r>
        <w:rPr>
          <w:rFonts w:hint="default" w:ascii="Times New Roman" w:hAnsi="Times New Roman" w:cs="Times New Roman"/>
          <w:b/>
          <w:sz w:val="24"/>
          <w:szCs w:val="24"/>
        </w:rPr>
        <w:t>CLÁUSULA PRIMEIRA - DO OBJETO E PREÇO</w:t>
      </w:r>
    </w:p>
    <w:p>
      <w:pPr>
        <w:spacing w:beforeLines="0" w:afterLines="0"/>
        <w:jc w:val="both"/>
        <w:rPr>
          <w:rFonts w:hint="default" w:ascii="Times New Roman" w:hAnsi="Times New Roman" w:cs="Times New Roman"/>
          <w:sz w:val="24"/>
          <w:szCs w:val="24"/>
        </w:rPr>
      </w:pP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1.1 Este termo tem por objeto o Registro de Preços para a AQUISIÇÃO DE CAMINHAS EMPILHÁVEIS, CARRINHOS DE PASSEIO PARA BEBÊ, COLCHONETES E MESA COM CINCO LUGARES PARA ALIMENTAÇÃO, visando à estruturação das atividades desenvolvidas junto aos Centros de Educação Infantil/Creches do Município de Planalto/RS, na quantidade estimada abaixo.</w:t>
      </w:r>
    </w:p>
    <w:tbl>
      <w:tblPr>
        <w:tblStyle w:val="12"/>
        <w:tblW w:w="960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528"/>
        <w:gridCol w:w="1107"/>
        <w:gridCol w:w="601"/>
        <w:gridCol w:w="4616"/>
        <w:gridCol w:w="5"/>
        <w:gridCol w:w="1392"/>
        <w:gridCol w:w="3"/>
        <w:gridCol w:w="1334"/>
        <w:gridCol w:w="14"/>
        <w:gridCol w:w="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2"/>
          <w:wAfter w:w="15" w:type="dxa"/>
        </w:trPr>
        <w:tc>
          <w:tcPr>
            <w:tcW w:w="9586" w:type="dxa"/>
            <w:gridSpan w:val="8"/>
            <w:tcBorders>
              <w:top w:val="single" w:color="auto" w:sz="4" w:space="0"/>
              <w:left w:val="single" w:color="auto" w:sz="4" w:space="0"/>
              <w:bottom w:val="nil"/>
              <w:right w:val="single" w:color="auto" w:sz="4" w:space="0"/>
              <w:tl2br w:val="nil"/>
              <w:tr2bl w:val="nil"/>
            </w:tcBorders>
            <w:noWrap w:val="0"/>
            <w:vAlign w:val="top"/>
          </w:tcPr>
          <w:p>
            <w:pPr>
              <w:spacing w:beforeLines="0" w:afterLines="0"/>
              <w:jc w:val="left"/>
              <w:rPr>
                <w:rFonts w:hint="default" w:ascii="Times New Roman" w:hAnsi="Times New Roman" w:eastAsia="Times New Roman"/>
                <w:b/>
                <w:sz w:val="24"/>
                <w:szCs w:val="24"/>
              </w:rPr>
            </w:pPr>
            <w:r>
              <w:rPr>
                <w:rFonts w:hint="default" w:ascii="Times New Roman" w:hAnsi="Times New Roman" w:eastAsia="Times New Roman"/>
                <w:b/>
                <w:sz w:val="24"/>
                <w:szCs w:val="24"/>
              </w:rPr>
              <w:t xml:space="preserve">Empresa: </w:t>
            </w:r>
            <w:r>
              <w:rPr>
                <w:rFonts w:hint="default" w:ascii="Times New Roman" w:hAnsi="Times New Roman" w:eastAsia="Times New Roman"/>
                <w:b/>
                <w:sz w:val="24"/>
                <w:szCs w:val="24"/>
              </w:rPr>
              <w:fldChar w:fldCharType="begin"/>
            </w:r>
            <w:r>
              <w:rPr>
                <w:rFonts w:hint="default" w:ascii="Times New Roman" w:hAnsi="Times New Roman" w:eastAsia="Times New Roman"/>
                <w:b/>
                <w:sz w:val="24"/>
                <w:szCs w:val="24"/>
              </w:rPr>
              <w:instrText xml:space="preserve">MERGEFIELD EMPRESAS_COM_ITENS_VENCEDORES.NOME_PES</w:instrText>
            </w:r>
            <w:r>
              <w:rPr>
                <w:rFonts w:hint="default" w:ascii="Times New Roman" w:hAnsi="Times New Roman" w:eastAsia="Times New Roman"/>
                <w:b/>
                <w:sz w:val="24"/>
                <w:szCs w:val="24"/>
              </w:rPr>
              <w:fldChar w:fldCharType="separate"/>
            </w:r>
            <w:r>
              <w:rPr>
                <w:rFonts w:hint="default" w:ascii="Times New Roman" w:hAnsi="Times New Roman" w:eastAsia="Times New Roman"/>
                <w:b/>
                <w:sz w:val="24"/>
                <w:szCs w:val="24"/>
              </w:rPr>
              <w:t>UNIMÓVEIS COMÉRCIO DE MÓVEIS EIRELI</w:t>
            </w:r>
            <w:r>
              <w:rPr>
                <w:rFonts w:hint="default" w:ascii="Times New Roman" w:hAnsi="Times New Roman" w:eastAsia="Times New Roman"/>
                <w:b/>
                <w:sz w:val="24"/>
                <w:szCs w:val="24"/>
              </w:rPr>
              <w:fldChar w:fldCharType="end"/>
            </w:r>
            <w:r>
              <w:rPr>
                <w:rFonts w:hint="default" w:ascii="Times New Roman" w:hAnsi="Times New Roman" w:eastAsia="Times New Roman"/>
                <w:b/>
                <w:sz w:val="24"/>
                <w:szCs w:val="24"/>
              </w:rPr>
              <w:t xml:space="preserve"> - </w:t>
            </w:r>
            <w:r>
              <w:rPr>
                <w:rFonts w:hint="default" w:ascii="Times New Roman" w:hAnsi="Times New Roman" w:eastAsia="Times New Roman"/>
                <w:b/>
                <w:sz w:val="24"/>
                <w:szCs w:val="24"/>
              </w:rPr>
              <w:fldChar w:fldCharType="begin"/>
            </w:r>
            <w:r>
              <w:rPr>
                <w:rFonts w:hint="default" w:ascii="Times New Roman" w:hAnsi="Times New Roman" w:eastAsia="Times New Roman"/>
                <w:b/>
                <w:sz w:val="24"/>
                <w:szCs w:val="24"/>
              </w:rPr>
              <w:instrText xml:space="preserve">MERGEFIELD EMPRESAS_COM_ITENS_VENCEDORES.COD_PES</w:instrText>
            </w:r>
            <w:r>
              <w:rPr>
                <w:rFonts w:hint="default" w:ascii="Times New Roman" w:hAnsi="Times New Roman" w:eastAsia="Times New Roman"/>
                <w:b/>
                <w:sz w:val="24"/>
                <w:szCs w:val="24"/>
              </w:rPr>
              <w:fldChar w:fldCharType="separate"/>
            </w:r>
            <w:r>
              <w:rPr>
                <w:rFonts w:hint="default" w:ascii="Times New Roman" w:hAnsi="Times New Roman" w:eastAsia="Times New Roman"/>
                <w:b/>
                <w:sz w:val="24"/>
                <w:szCs w:val="24"/>
              </w:rPr>
              <w:t>15176</w:t>
            </w:r>
            <w:r>
              <w:rPr>
                <w:rFonts w:hint="default" w:ascii="Times New Roman" w:hAnsi="Times New Roman" w:eastAsia="Times New Roman"/>
                <w:b/>
                <w:sz w:val="24"/>
                <w:szCs w:val="24"/>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1" w:type="dxa"/>
          <w:tblHeader/>
        </w:trPr>
        <w:tc>
          <w:tcPr>
            <w:tcW w:w="528"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b/>
                <w:sz w:val="24"/>
                <w:szCs w:val="24"/>
              </w:rPr>
            </w:pPr>
            <w:r>
              <w:rPr>
                <w:rFonts w:hint="default" w:ascii="Times New Roman" w:hAnsi="Times New Roman" w:eastAsia="Times New Roman"/>
                <w:b/>
                <w:sz w:val="24"/>
                <w:szCs w:val="24"/>
              </w:rPr>
              <w:t>Item</w:t>
            </w:r>
          </w:p>
        </w:tc>
        <w:tc>
          <w:tcPr>
            <w:tcW w:w="1107"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b/>
                <w:sz w:val="24"/>
                <w:szCs w:val="24"/>
              </w:rPr>
            </w:pPr>
            <w:r>
              <w:rPr>
                <w:rFonts w:hint="default" w:ascii="Times New Roman" w:hAnsi="Times New Roman" w:eastAsia="Times New Roman"/>
                <w:b/>
                <w:sz w:val="24"/>
                <w:szCs w:val="24"/>
              </w:rPr>
              <w:t>Quant</w:t>
            </w:r>
          </w:p>
        </w:tc>
        <w:tc>
          <w:tcPr>
            <w:tcW w:w="601"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center"/>
              <w:rPr>
                <w:rFonts w:hint="default" w:ascii="Times New Roman" w:hAnsi="Times New Roman" w:eastAsia="Times New Roman"/>
                <w:b/>
                <w:sz w:val="24"/>
                <w:szCs w:val="24"/>
              </w:rPr>
            </w:pPr>
            <w:r>
              <w:rPr>
                <w:rFonts w:hint="default" w:ascii="Times New Roman" w:hAnsi="Times New Roman" w:eastAsia="Times New Roman"/>
                <w:b/>
                <w:sz w:val="24"/>
                <w:szCs w:val="24"/>
              </w:rPr>
              <w:t>Unid.</w:t>
            </w:r>
          </w:p>
        </w:tc>
        <w:tc>
          <w:tcPr>
            <w:tcW w:w="4621" w:type="dxa"/>
            <w:gridSpan w:val="2"/>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left"/>
              <w:rPr>
                <w:rFonts w:hint="default" w:ascii="Times New Roman" w:hAnsi="Times New Roman" w:eastAsia="Times New Roman"/>
                <w:b/>
                <w:sz w:val="24"/>
                <w:szCs w:val="24"/>
              </w:rPr>
            </w:pPr>
            <w:r>
              <w:rPr>
                <w:rFonts w:hint="default" w:ascii="Times New Roman" w:hAnsi="Times New Roman" w:eastAsia="Times New Roman"/>
                <w:b/>
                <w:sz w:val="24"/>
                <w:szCs w:val="24"/>
              </w:rPr>
              <w:t>Produto</w:t>
            </w:r>
          </w:p>
        </w:tc>
        <w:tc>
          <w:tcPr>
            <w:tcW w:w="1392"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b/>
                <w:sz w:val="24"/>
                <w:szCs w:val="24"/>
              </w:rPr>
            </w:pPr>
            <w:r>
              <w:rPr>
                <w:rFonts w:hint="default" w:ascii="Times New Roman" w:hAnsi="Times New Roman" w:eastAsia="Times New Roman"/>
                <w:b/>
                <w:sz w:val="24"/>
                <w:szCs w:val="24"/>
              </w:rPr>
              <w:t>Valor Unit.</w:t>
            </w:r>
          </w:p>
        </w:tc>
        <w:tc>
          <w:tcPr>
            <w:tcW w:w="1351" w:type="dxa"/>
            <w:gridSpan w:val="3"/>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b/>
                <w:sz w:val="24"/>
                <w:szCs w:val="24"/>
              </w:rPr>
            </w:pPr>
            <w:r>
              <w:rPr>
                <w:rFonts w:hint="default" w:ascii="Times New Roman" w:hAnsi="Times New Roman" w:eastAsia="Times New Roman"/>
                <w:b/>
                <w:sz w:val="24"/>
                <w:szCs w:val="24"/>
              </w:rPr>
              <w:t>Valor Total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1" w:type="dxa"/>
        </w:trPr>
        <w:tc>
          <w:tcPr>
            <w:tcW w:w="528"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4"/>
                <w:szCs w:val="24"/>
              </w:rPr>
            </w:pPr>
            <w:r>
              <w:rPr>
                <w:rFonts w:hint="default" w:ascii="Times New Roman" w:hAnsi="Times New Roman" w:eastAsia="Times New Roman"/>
                <w:sz w:val="24"/>
                <w:szCs w:val="24"/>
              </w:rPr>
              <w:fldChar w:fldCharType="begin"/>
            </w:r>
            <w:r>
              <w:rPr>
                <w:rFonts w:hint="default" w:ascii="Times New Roman" w:hAnsi="Times New Roman" w:eastAsia="Times New Roman"/>
                <w:sz w:val="24"/>
                <w:szCs w:val="24"/>
              </w:rPr>
              <w:instrText xml:space="preserve">MERGEFIELD ITENS_VENCEDORES.ID_ITEM</w:instrText>
            </w:r>
            <w:r>
              <w:rPr>
                <w:rFonts w:hint="default" w:ascii="Times New Roman" w:hAnsi="Times New Roman" w:eastAsia="Times New Roman"/>
                <w:sz w:val="24"/>
                <w:szCs w:val="24"/>
              </w:rPr>
              <w:fldChar w:fldCharType="separate"/>
            </w:r>
            <w:r>
              <w:rPr>
                <w:rFonts w:hint="default" w:ascii="Times New Roman" w:hAnsi="Times New Roman" w:eastAsia="Times New Roman"/>
                <w:sz w:val="24"/>
                <w:szCs w:val="24"/>
              </w:rPr>
              <w:t>1</w:t>
            </w:r>
            <w:r>
              <w:rPr>
                <w:rFonts w:hint="default" w:ascii="Times New Roman" w:hAnsi="Times New Roman" w:eastAsia="Times New Roman"/>
                <w:sz w:val="24"/>
                <w:szCs w:val="24"/>
              </w:rPr>
              <w:fldChar w:fldCharType="end"/>
            </w:r>
          </w:p>
        </w:tc>
        <w:tc>
          <w:tcPr>
            <w:tcW w:w="1107"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4"/>
                <w:szCs w:val="24"/>
              </w:rPr>
            </w:pPr>
            <w:r>
              <w:rPr>
                <w:rFonts w:hint="default" w:ascii="Times New Roman" w:hAnsi="Times New Roman" w:eastAsia="Times New Roman"/>
                <w:sz w:val="24"/>
                <w:szCs w:val="24"/>
              </w:rPr>
              <w:fldChar w:fldCharType="begin"/>
            </w:r>
            <w:r>
              <w:rPr>
                <w:rFonts w:hint="default" w:ascii="Times New Roman" w:hAnsi="Times New Roman" w:eastAsia="Times New Roman"/>
                <w:sz w:val="24"/>
                <w:szCs w:val="24"/>
              </w:rPr>
              <w:instrText xml:space="preserve">MERGEFIELD ITENS_VENCEDORES.QTDITEM_ILIC</w:instrText>
            </w:r>
            <w:r>
              <w:rPr>
                <w:rFonts w:hint="default" w:ascii="Times New Roman" w:hAnsi="Times New Roman" w:eastAsia="Times New Roman"/>
                <w:sz w:val="24"/>
                <w:szCs w:val="24"/>
              </w:rPr>
              <w:fldChar w:fldCharType="separate"/>
            </w:r>
            <w:r>
              <w:rPr>
                <w:rFonts w:hint="default" w:ascii="Times New Roman" w:hAnsi="Times New Roman" w:eastAsia="Times New Roman"/>
                <w:sz w:val="24"/>
                <w:szCs w:val="24"/>
              </w:rPr>
              <w:t>2</w:t>
            </w:r>
            <w:r>
              <w:rPr>
                <w:rFonts w:hint="default" w:ascii="Times New Roman" w:hAnsi="Times New Roman" w:eastAsia="Times New Roman"/>
                <w:sz w:val="24"/>
                <w:szCs w:val="24"/>
              </w:rPr>
              <w:fldChar w:fldCharType="end"/>
            </w:r>
          </w:p>
        </w:tc>
        <w:tc>
          <w:tcPr>
            <w:tcW w:w="601"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center"/>
              <w:rPr>
                <w:rFonts w:hint="default" w:ascii="Times New Roman" w:hAnsi="Times New Roman" w:eastAsia="Times New Roman"/>
                <w:sz w:val="24"/>
                <w:szCs w:val="24"/>
              </w:rPr>
            </w:pPr>
            <w:r>
              <w:rPr>
                <w:rFonts w:hint="default" w:ascii="Times New Roman" w:hAnsi="Times New Roman" w:eastAsia="Times New Roman"/>
                <w:sz w:val="24"/>
                <w:szCs w:val="24"/>
              </w:rPr>
              <w:fldChar w:fldCharType="begin"/>
            </w:r>
            <w:r>
              <w:rPr>
                <w:rFonts w:hint="default" w:ascii="Times New Roman" w:hAnsi="Times New Roman" w:eastAsia="Times New Roman"/>
                <w:sz w:val="24"/>
                <w:szCs w:val="24"/>
              </w:rPr>
              <w:instrText xml:space="preserve">MERGEFIELD ITENS_VENCEDORES.SIGLA_UND</w:instrText>
            </w:r>
            <w:r>
              <w:rPr>
                <w:rFonts w:hint="default" w:ascii="Times New Roman" w:hAnsi="Times New Roman" w:eastAsia="Times New Roman"/>
                <w:sz w:val="24"/>
                <w:szCs w:val="24"/>
              </w:rPr>
              <w:fldChar w:fldCharType="separate"/>
            </w:r>
            <w:r>
              <w:rPr>
                <w:rFonts w:hint="default" w:ascii="Times New Roman" w:hAnsi="Times New Roman" w:eastAsia="Times New Roman"/>
                <w:sz w:val="24"/>
                <w:szCs w:val="24"/>
              </w:rPr>
              <w:t>UN</w:t>
            </w:r>
            <w:r>
              <w:rPr>
                <w:rFonts w:hint="default" w:ascii="Times New Roman" w:hAnsi="Times New Roman" w:eastAsia="Times New Roman"/>
                <w:sz w:val="24"/>
                <w:szCs w:val="24"/>
              </w:rPr>
              <w:fldChar w:fldCharType="end"/>
            </w:r>
          </w:p>
        </w:tc>
        <w:tc>
          <w:tcPr>
            <w:tcW w:w="4621" w:type="dxa"/>
            <w:gridSpan w:val="2"/>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both"/>
              <w:rPr>
                <w:rFonts w:hint="default" w:ascii="Times New Roman" w:hAnsi="Times New Roman" w:eastAsia="Times New Roman"/>
                <w:sz w:val="24"/>
                <w:szCs w:val="24"/>
              </w:rPr>
            </w:pPr>
            <w:r>
              <w:rPr>
                <w:rFonts w:hint="default" w:ascii="Times New Roman" w:hAnsi="Times New Roman" w:eastAsia="Times New Roman"/>
                <w:sz w:val="24"/>
                <w:szCs w:val="24"/>
              </w:rPr>
              <w:fldChar w:fldCharType="begin"/>
            </w:r>
            <w:r>
              <w:rPr>
                <w:rFonts w:hint="default" w:ascii="Times New Roman" w:hAnsi="Times New Roman" w:eastAsia="Times New Roman"/>
                <w:sz w:val="24"/>
                <w:szCs w:val="24"/>
              </w:rPr>
              <w:instrText xml:space="preserve">MERGEFIELD ITENS_VENCEDORES.DESCITEM_ILIC</w:instrText>
            </w:r>
            <w:r>
              <w:rPr>
                <w:rFonts w:hint="default" w:ascii="Times New Roman" w:hAnsi="Times New Roman" w:eastAsia="Times New Roman"/>
                <w:sz w:val="24"/>
                <w:szCs w:val="24"/>
              </w:rPr>
              <w:fldChar w:fldCharType="separate"/>
            </w:r>
            <w:r>
              <w:rPr>
                <w:rFonts w:hint="default" w:ascii="Times New Roman" w:hAnsi="Times New Roman" w:eastAsia="Times New Roman"/>
                <w:sz w:val="24"/>
                <w:szCs w:val="24"/>
              </w:rPr>
              <w:t>Mesa de alimentação para berçário com tampo MDF com laminado oval e conchinhas  em resina plástica PP – 5 lugares. Medida mínima do tampo (180cm x 85 cm) madeira MDF de no mínimo 18 mm de espessura revestido em laminado melamínico na cor clara; partes metálicas  anti-ferrugem; No tampo da Mesa  devem ter orifícios para encaixe dos assentos (conchas) confeccionadas em resina plástica com proteção estofadas e cinto de segurança que pode ser higienizado. Medidas mínimas de largura 28 cm x profundidade 19 cm x altura encosto de 22cm. A cadeira giratória com assento e encosto em resina plástica.</w:t>
            </w:r>
            <w:r>
              <w:rPr>
                <w:rFonts w:hint="default" w:ascii="Times New Roman" w:hAnsi="Times New Roman" w:eastAsia="Times New Roman"/>
                <w:sz w:val="24"/>
                <w:szCs w:val="24"/>
              </w:rPr>
              <w:fldChar w:fldCharType="end"/>
            </w:r>
          </w:p>
        </w:tc>
        <w:tc>
          <w:tcPr>
            <w:tcW w:w="1392"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4"/>
                <w:szCs w:val="24"/>
              </w:rPr>
            </w:pPr>
            <w:r>
              <w:rPr>
                <w:rFonts w:hint="default" w:ascii="Times New Roman" w:hAnsi="Times New Roman" w:eastAsia="Times New Roman"/>
                <w:sz w:val="24"/>
                <w:szCs w:val="24"/>
              </w:rPr>
              <w:fldChar w:fldCharType="begin"/>
            </w:r>
            <w:r>
              <w:rPr>
                <w:rFonts w:hint="default" w:ascii="Times New Roman" w:hAnsi="Times New Roman" w:eastAsia="Times New Roman"/>
                <w:sz w:val="24"/>
                <w:szCs w:val="24"/>
              </w:rPr>
              <w:instrText xml:space="preserve">MERGEFIELD ITENS_VENCEDORES.VLRUNIT_RLIC</w:instrText>
            </w:r>
            <w:r>
              <w:rPr>
                <w:rFonts w:hint="default" w:ascii="Times New Roman" w:hAnsi="Times New Roman" w:eastAsia="Times New Roman"/>
                <w:sz w:val="24"/>
                <w:szCs w:val="24"/>
              </w:rPr>
              <w:fldChar w:fldCharType="separate"/>
            </w:r>
            <w:r>
              <w:rPr>
                <w:rFonts w:hint="default" w:ascii="Times New Roman" w:hAnsi="Times New Roman" w:eastAsia="Times New Roman"/>
                <w:sz w:val="24"/>
                <w:szCs w:val="24"/>
              </w:rPr>
              <w:t>1.849,00</w:t>
            </w:r>
            <w:r>
              <w:rPr>
                <w:rFonts w:hint="default" w:ascii="Times New Roman" w:hAnsi="Times New Roman" w:eastAsia="Times New Roman"/>
                <w:sz w:val="24"/>
                <w:szCs w:val="24"/>
              </w:rPr>
              <w:fldChar w:fldCharType="end"/>
            </w:r>
          </w:p>
        </w:tc>
        <w:tc>
          <w:tcPr>
            <w:tcW w:w="1351" w:type="dxa"/>
            <w:gridSpan w:val="3"/>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4"/>
                <w:szCs w:val="24"/>
              </w:rPr>
            </w:pPr>
            <w:r>
              <w:rPr>
                <w:rFonts w:hint="default" w:ascii="Times New Roman" w:hAnsi="Times New Roman" w:eastAsia="Times New Roman"/>
                <w:sz w:val="24"/>
                <w:szCs w:val="24"/>
              </w:rPr>
              <w:fldChar w:fldCharType="begin"/>
            </w:r>
            <w:r>
              <w:rPr>
                <w:rFonts w:hint="default" w:ascii="Times New Roman" w:hAnsi="Times New Roman" w:eastAsia="Times New Roman"/>
                <w:sz w:val="24"/>
                <w:szCs w:val="24"/>
              </w:rPr>
              <w:instrText xml:space="preserve">MERGEFIELD ITENS_VENCEDORES.VLRTOTAL</w:instrText>
            </w:r>
            <w:r>
              <w:rPr>
                <w:rFonts w:hint="default" w:ascii="Times New Roman" w:hAnsi="Times New Roman" w:eastAsia="Times New Roman"/>
                <w:sz w:val="24"/>
                <w:szCs w:val="24"/>
              </w:rPr>
              <w:fldChar w:fldCharType="separate"/>
            </w:r>
            <w:r>
              <w:rPr>
                <w:rFonts w:hint="default" w:ascii="Times New Roman" w:hAnsi="Times New Roman" w:eastAsia="Times New Roman"/>
                <w:sz w:val="24"/>
                <w:szCs w:val="24"/>
              </w:rPr>
              <w:t>3.698,00</w:t>
            </w:r>
            <w:r>
              <w:rPr>
                <w:rFonts w:hint="default" w:ascii="Times New Roman" w:hAnsi="Times New Roman" w:eastAsia="Times New Roman"/>
                <w:sz w:val="24"/>
                <w:szCs w:val="24"/>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6852" w:type="dxa"/>
            <w:gridSpan w:val="4"/>
            <w:tcBorders>
              <w:top w:val="single" w:color="auto" w:sz="4" w:space="0"/>
              <w:left w:val="single" w:color="auto" w:sz="4" w:space="0"/>
              <w:bottom w:val="single" w:color="auto" w:sz="4" w:space="0"/>
              <w:right w:val="nil"/>
              <w:tl2br w:val="nil"/>
              <w:tr2bl w:val="nil"/>
            </w:tcBorders>
            <w:noWrap w:val="0"/>
            <w:vAlign w:val="top"/>
          </w:tcPr>
          <w:p>
            <w:pPr>
              <w:spacing w:beforeLines="0" w:afterLines="0"/>
              <w:jc w:val="right"/>
              <w:rPr>
                <w:rFonts w:hint="default" w:ascii="Times New Roman" w:hAnsi="Times New Roman" w:eastAsia="Times New Roman"/>
                <w:b/>
                <w:sz w:val="24"/>
                <w:szCs w:val="24"/>
              </w:rPr>
            </w:pPr>
            <w:r>
              <w:rPr>
                <w:rFonts w:hint="default" w:ascii="Times New Roman" w:hAnsi="Times New Roman" w:eastAsia="Times New Roman"/>
                <w:b/>
                <w:sz w:val="24"/>
                <w:szCs w:val="24"/>
              </w:rPr>
              <w:t>Total dos Produtos</w:t>
            </w:r>
          </w:p>
        </w:tc>
        <w:tc>
          <w:tcPr>
            <w:tcW w:w="1400" w:type="dxa"/>
            <w:gridSpan w:val="3"/>
            <w:tcBorders>
              <w:top w:val="single" w:color="auto" w:sz="4" w:space="0"/>
              <w:left w:val="nil"/>
              <w:bottom w:val="single" w:color="auto" w:sz="4" w:space="0"/>
              <w:right w:val="single" w:color="auto" w:sz="4" w:space="0"/>
              <w:tl2br w:val="nil"/>
              <w:tr2bl w:val="nil"/>
            </w:tcBorders>
            <w:noWrap w:val="0"/>
            <w:vAlign w:val="top"/>
          </w:tcPr>
          <w:p>
            <w:pPr>
              <w:spacing w:beforeLines="0" w:afterLines="0"/>
              <w:jc w:val="left"/>
              <w:rPr>
                <w:rFonts w:hint="default"/>
                <w:sz w:val="24"/>
                <w:szCs w:val="24"/>
              </w:rPr>
            </w:pPr>
          </w:p>
        </w:tc>
        <w:tc>
          <w:tcPr>
            <w:tcW w:w="1349" w:type="dxa"/>
            <w:gridSpan w:val="3"/>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b/>
                <w:sz w:val="24"/>
                <w:szCs w:val="24"/>
              </w:rPr>
            </w:pPr>
            <w:r>
              <w:rPr>
                <w:rFonts w:hint="default" w:ascii="Times New Roman" w:hAnsi="Times New Roman" w:eastAsia="Times New Roman"/>
                <w:b/>
                <w:sz w:val="24"/>
                <w:szCs w:val="24"/>
              </w:rPr>
              <w:fldChar w:fldCharType="begin"/>
            </w:r>
            <w:r>
              <w:rPr>
                <w:rFonts w:hint="default" w:ascii="Times New Roman" w:hAnsi="Times New Roman" w:eastAsia="Times New Roman"/>
                <w:b/>
                <w:sz w:val="24"/>
                <w:szCs w:val="24"/>
              </w:rPr>
              <w:instrText xml:space="preserve">MERGEFIELD EMPRESAS_COM_ITENS_VENCEDORES.TOTALGERAL</w:instrText>
            </w:r>
            <w:r>
              <w:rPr>
                <w:rFonts w:hint="default" w:ascii="Times New Roman" w:hAnsi="Times New Roman" w:eastAsia="Times New Roman"/>
                <w:b/>
                <w:sz w:val="24"/>
                <w:szCs w:val="24"/>
              </w:rPr>
              <w:fldChar w:fldCharType="separate"/>
            </w:r>
            <w:r>
              <w:rPr>
                <w:rFonts w:hint="default" w:ascii="Times New Roman" w:hAnsi="Times New Roman" w:eastAsia="Times New Roman"/>
                <w:b/>
                <w:sz w:val="24"/>
                <w:szCs w:val="24"/>
              </w:rPr>
              <w:t>3.698,00</w:t>
            </w:r>
            <w:r>
              <w:rPr>
                <w:rFonts w:hint="default" w:ascii="Times New Roman" w:hAnsi="Times New Roman" w:eastAsia="Times New Roman"/>
                <w:b/>
                <w:sz w:val="24"/>
                <w:szCs w:val="24"/>
              </w:rPr>
              <w:fldChar w:fldCharType="end"/>
            </w:r>
          </w:p>
        </w:tc>
      </w:tr>
    </w:tbl>
    <w:p>
      <w:pPr>
        <w:spacing w:beforeLines="0" w:afterLines="0"/>
        <w:jc w:val="both"/>
        <w:rPr>
          <w:rFonts w:hint="default" w:ascii="Times New Roman" w:hAnsi="Times New Roman" w:cs="Times New Roman"/>
          <w:sz w:val="24"/>
          <w:szCs w:val="24"/>
        </w:rPr>
      </w:pP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1.2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1.3 Ao assinar este Contrato, a CONTRATADA declara que tomou pleno conhecimento da natureza e condições locais onde serão executados os serviços objeto do presente Contrato. Não será considerada pela CONTRATANTE qualquer reclamação ou reivindicação por parte da CONTRATADA fundamentada na falta de conhecimento dessas condições.</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1.4 Todos os equipamentos e materiais utilizados na prestação dos serviços/fornecimento dos materiais deverão atender às exigências mínimas de qualidade, observados os padrões e normas baixadas pelos órgãos competentes de controle de qualidade Industrial atentando-se a contratada, principalmente, para as prescrições contidas no art. 39, VIII, da Lei 8.078/90 (Código de Defesa do Consumidor).</w:t>
      </w:r>
    </w:p>
    <w:p>
      <w:pPr>
        <w:spacing w:beforeLines="0" w:afterLines="0"/>
        <w:jc w:val="both"/>
        <w:rPr>
          <w:rFonts w:hint="default" w:ascii="Times New Roman" w:hAnsi="Times New Roman" w:cs="Times New Roman"/>
          <w:sz w:val="24"/>
          <w:szCs w:val="24"/>
        </w:rPr>
      </w:pPr>
    </w:p>
    <w:p>
      <w:pPr>
        <w:spacing w:beforeLines="0" w:afterLines="0"/>
        <w:jc w:val="both"/>
        <w:rPr>
          <w:rFonts w:hint="default" w:ascii="Times New Roman" w:hAnsi="Times New Roman" w:cs="Times New Roman"/>
          <w:b/>
          <w:sz w:val="24"/>
          <w:szCs w:val="24"/>
        </w:rPr>
      </w:pPr>
      <w:r>
        <w:rPr>
          <w:rFonts w:hint="default" w:ascii="Times New Roman" w:hAnsi="Times New Roman" w:cs="Times New Roman"/>
          <w:b/>
          <w:sz w:val="24"/>
          <w:szCs w:val="24"/>
        </w:rPr>
        <w:t>CLÁUSULA SEGUNDA – DA VALIDADE DA ATA</w:t>
      </w:r>
    </w:p>
    <w:p>
      <w:pPr>
        <w:spacing w:beforeLines="0" w:afterLines="0"/>
        <w:jc w:val="both"/>
        <w:rPr>
          <w:rFonts w:hint="default" w:ascii="Times New Roman" w:hAnsi="Times New Roman" w:cs="Times New Roman"/>
          <w:sz w:val="24"/>
          <w:szCs w:val="24"/>
        </w:rPr>
      </w:pP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2.1 A presente Ata de Registro de Preços terá validade de 12 (doze) meses consecutivos contados da data de assinatura deste termo.</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2.2 Durante o prazo de validade desta Ata de Registro de Preço, o Município de Planalto/RS, não será obrigado a firmar as contratações que dela poderão advir, facultando-se lhe a realização de licitação específica para a aquisição pretendida, sendo assegurado ao(s) beneficiário(s) do registro preferência de fornecimento em igualdade de condições.</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2.3 Os preços, durante a vigência da Ata, serão fixos e irreajustáveis, exceto nas hipóteses devidamente comprovadas, de ocorrência de situação prevista na alínea “d” do inciso II do art. 65 da Lei 8.666/93 ou de redução dos preços praticados no mercado.</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2.4 A Ata poderá sofrer alterações de acordo com as condições estabelecidas no art. 65 da Lei 8.666/93.</w:t>
      </w:r>
    </w:p>
    <w:p>
      <w:pPr>
        <w:spacing w:beforeLines="0" w:afterLines="0"/>
        <w:jc w:val="both"/>
        <w:rPr>
          <w:rFonts w:hint="default" w:ascii="Times New Roman" w:hAnsi="Times New Roman" w:cs="Times New Roman"/>
          <w:sz w:val="24"/>
          <w:szCs w:val="24"/>
        </w:rPr>
      </w:pPr>
    </w:p>
    <w:p>
      <w:pPr>
        <w:spacing w:beforeLines="0" w:afterLines="0"/>
        <w:jc w:val="both"/>
        <w:rPr>
          <w:rFonts w:hint="default" w:ascii="Times New Roman" w:hAnsi="Times New Roman" w:cs="Times New Roman"/>
          <w:b/>
          <w:sz w:val="24"/>
          <w:szCs w:val="24"/>
        </w:rPr>
      </w:pPr>
      <w:r>
        <w:rPr>
          <w:rFonts w:hint="default" w:ascii="Times New Roman" w:hAnsi="Times New Roman" w:cs="Times New Roman"/>
          <w:b/>
          <w:sz w:val="24"/>
          <w:szCs w:val="24"/>
        </w:rPr>
        <w:t>CLÁUSULA TERCEIRA – DA ENTREGA</w:t>
      </w:r>
    </w:p>
    <w:p>
      <w:pPr>
        <w:spacing w:beforeLines="0" w:afterLines="0"/>
        <w:jc w:val="both"/>
        <w:rPr>
          <w:rFonts w:hint="default" w:ascii="Times New Roman" w:hAnsi="Times New Roman" w:cs="Times New Roman"/>
          <w:sz w:val="24"/>
          <w:szCs w:val="24"/>
        </w:rPr>
      </w:pP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3.1 A entrega do objeto desta licitação deverá se dar num prazo máximo de 15(quinze) dias, contados a partir da emissão e recebimento da Autorização de Fornecimento.</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3.2 Os materiais/produtos, objeto desta licitação, deverão ser entregues na Secretaria de Educação, situado no endereço: Rua Humberto de Campos, 732, Centro, Planalto/RS.</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3.3 No caso de se constatar qualquer irregularidade ou incompatibilidade nos itens fornecidos em relação à proposta comercial da contratada ou em relação às condições expressas neste Edital, os mesmos serão sumariamente rejeitados, sujeitando-se a contratada às penalidades constantes do Edital, item 13 e subitens.</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3.4 A municipalidade se reserva o direito de adquirir somente parte dos produtos listados.</w:t>
      </w:r>
    </w:p>
    <w:p>
      <w:pPr>
        <w:spacing w:beforeLines="0" w:afterLines="0"/>
        <w:jc w:val="both"/>
        <w:rPr>
          <w:rFonts w:hint="default" w:ascii="Times New Roman" w:hAnsi="Times New Roman" w:cs="Times New Roman"/>
          <w:sz w:val="24"/>
          <w:szCs w:val="24"/>
        </w:rPr>
      </w:pPr>
    </w:p>
    <w:p>
      <w:pPr>
        <w:spacing w:beforeLines="0" w:afterLines="0"/>
        <w:jc w:val="both"/>
        <w:rPr>
          <w:rFonts w:hint="default" w:ascii="Times New Roman" w:hAnsi="Times New Roman" w:cs="Times New Roman"/>
          <w:b/>
          <w:sz w:val="24"/>
          <w:szCs w:val="24"/>
        </w:rPr>
      </w:pPr>
    </w:p>
    <w:p>
      <w:pPr>
        <w:spacing w:beforeLines="0" w:afterLines="0"/>
        <w:jc w:val="both"/>
        <w:rPr>
          <w:rFonts w:hint="default" w:ascii="Times New Roman" w:hAnsi="Times New Roman" w:cs="Times New Roman"/>
          <w:b/>
          <w:sz w:val="24"/>
          <w:szCs w:val="24"/>
        </w:rPr>
      </w:pPr>
      <w:r>
        <w:rPr>
          <w:rFonts w:hint="default" w:ascii="Times New Roman" w:hAnsi="Times New Roman" w:cs="Times New Roman"/>
          <w:b/>
          <w:sz w:val="24"/>
          <w:szCs w:val="24"/>
        </w:rPr>
        <w:t>CLÁUSULA QUARTA – DO PAGAMENTO</w:t>
      </w:r>
    </w:p>
    <w:p>
      <w:pPr>
        <w:spacing w:beforeLines="0" w:afterLines="0"/>
        <w:jc w:val="both"/>
        <w:rPr>
          <w:rFonts w:hint="default" w:ascii="Times New Roman" w:hAnsi="Times New Roman" w:cs="Times New Roman"/>
          <w:sz w:val="24"/>
          <w:szCs w:val="24"/>
        </w:rPr>
      </w:pP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4.1 O pagamento será efetuado no Departamento de Tesouraria, mediante apresentação da Nota Fiscal, devidamente certificada pelo órgão competente, recebedor do objeto licitado.</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4.2 O Pagamento será efetuado através de ordem bancária e/ou depósito na conta do fornecedor.</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4.3 A(s) despesa(s) decorrente(s) do fornecimento do objeto desta licitação correrão às dotações informadas nas Autorizações de Fornecimento. (Decreto 7.892/2013, Art. 7º §2º).</w:t>
      </w:r>
    </w:p>
    <w:p>
      <w:pPr>
        <w:spacing w:beforeLines="0" w:afterLines="0"/>
        <w:jc w:val="both"/>
        <w:rPr>
          <w:rFonts w:hint="default" w:ascii="Times New Roman" w:hAnsi="Times New Roman" w:cs="Times New Roman"/>
          <w:sz w:val="24"/>
          <w:szCs w:val="24"/>
        </w:rPr>
      </w:pPr>
    </w:p>
    <w:p>
      <w:pPr>
        <w:spacing w:beforeLines="0" w:afterLines="0"/>
        <w:jc w:val="both"/>
        <w:rPr>
          <w:rFonts w:hint="default" w:ascii="Times New Roman" w:hAnsi="Times New Roman" w:cs="Times New Roman"/>
          <w:b/>
          <w:sz w:val="24"/>
          <w:szCs w:val="24"/>
        </w:rPr>
      </w:pPr>
      <w:r>
        <w:rPr>
          <w:rFonts w:hint="default" w:ascii="Times New Roman" w:hAnsi="Times New Roman" w:cs="Times New Roman"/>
          <w:b/>
          <w:sz w:val="24"/>
          <w:szCs w:val="24"/>
        </w:rPr>
        <w:t>CLÁUSULA QUINTA – DAS PENALIDADES</w:t>
      </w:r>
    </w:p>
    <w:p>
      <w:pPr>
        <w:spacing w:beforeLines="0" w:afterLines="0"/>
        <w:jc w:val="both"/>
        <w:rPr>
          <w:rFonts w:hint="default" w:ascii="Times New Roman" w:hAnsi="Times New Roman" w:cs="Times New Roman"/>
          <w:sz w:val="24"/>
          <w:szCs w:val="24"/>
        </w:rPr>
      </w:pP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5.1 Nos termos do art. 87 da Lei n. 8.666/1993, pela inexecução total ou parcial do estabelecido neste edital de Licitação, este Município poderá aplicar à CONTRATADA as seguintes penalidades:</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I – ADVERTÊNCIA: será aplicada por escrito, quando o CONTRATADO deixar de atender determinações necessárias à regularização de faltas ou defeitos concernentes à execução dos serviços ou entrega dos bens, bem como por atos que correspondam a pequenas irregularidades verificadas na execução deste instrumento, que venham ou não causar dano à Administração ou a terceiros;</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II – MULTAS: serão aplicadas por infrações que obstaculizem a concretização do objeto licitado, por culpa do CONTRATADO, e compreenderão:</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a) Atraso de até 10 (dez) dias na entrega do produto, execução de obra e/ou prestação do serviço, multa de 05% (cinco por cento) do valor atualizado do contrato;</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b) Atraso superior a 10 (dez) dias na entrega do produto, execução de obra e/ou prestação do serviço, multa de 10% (dez por cento) do valor atualizado do contrato, sem prejuízo da rescisão unilateral por parte do Município de Planalto/RS;</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c) Será aplicada multa de 15% (quinze por cento) sobre o valor total do contrato, pelo descumprimento de quaisquer das obrigações contidas no edital, ressalvadas aquelas para as quais tenham sido fixadas penalidades específicas, sem prejuízo da rescisão unilateral por parte do Município de Planalto/RS;</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5.1.1 A multa deverá ser recolhida aos cofres do Município de Planalto/RS, dentro do prazo de 10 (dez) dias úteis após a respectiva notificação.</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5.1.2 Não solvida a multa, nos termos aqui previstos, será ela descontada dos créditos existentes em nome da CONTRATADA ou, não havendo esses ou sendo ela maior que o crédito, lançados em dívida ativa e/ou cobrada judicialmente com ônus ao devedor em qualquer hipótese;</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5.1.3 As multas previstas neste inciso são cumulativas, ou seja, incidem umas sobre as outras, em seus limites incidentes sobre cada uma delas;</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III – SUSPENSÃO TEMPORÁRIA DE CONTRATAR COM O MUNICÍPIO: A licitante será sancionada com a pena de suspensão temporária de licitar ou contratar com este Município e será descredenciada do seu Cadastro de Fornecedores, pelo prazo de até 02 (dois) anos, nos seguintes casos:</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a) fizer declaração falsa;</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b) deixar de entregar documentação ou apresentar documentação falsa;</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c) ensejar o retardamento da execução do objeto;</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d) não mantiver a proposta;</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e) falhar injustificadamente ou fraudar a execução do contrato;</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f) comportar-se de modo inidôneo ou cometer fraude fiscal;</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g) fornecer os produtos em desconformidade com o especificado;</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h) não substituir no prazo estipulado os produtos recusados pelo Município;</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IV – DECLARAÇÃO DE INIDONEIDADE PARA LICITAR OU CONTRATAR COM A ADMINISTRAÇÃO PÚBLICA: Enquanto perdurarem os motivos determinantes da punição ou até que seja promovida sua reabilitação perante a autoridade que aplicou a penalidade, será declarada inidônea para licitar e contratar com a Administração Pública, nos termos do artigo 87, inciso IV, da Lei 8.666/1993.</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5.2 A LICITANTE e/ou a CONTRATADA ficarão ainda sujeitas ao cancelamento de suas inscrições no Cadastro de Fornecedores deste Município.</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5.3 As penalidades poderão ser aplicadas isolada ou cumulativamente, nos termos da lei.</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5.4 As penalidades deste edital e de seu contrato poderão ser aplicadas cumulativamente com as penalidades disposta no art. 7º, da Lei nº 10.520/02.</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5.5 Na aplicação das penalidades serão admitidos os recursos em lei, observando-se o contraditório e a ampla defesa.</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5.6 As penalidades previstas poderão ser minoradas ou não serão aplicadas quando o descumprimento do estipulado no contrato ou no edital decorrer de justa causa ou impedimento devidamente comprovado e aceito pelo Município de Planalto/RS.</w:t>
      </w:r>
    </w:p>
    <w:p>
      <w:pPr>
        <w:spacing w:beforeLines="0" w:afterLines="0"/>
        <w:jc w:val="both"/>
        <w:rPr>
          <w:rFonts w:hint="default" w:ascii="Times New Roman" w:hAnsi="Times New Roman" w:cs="Times New Roman"/>
          <w:sz w:val="24"/>
          <w:szCs w:val="24"/>
        </w:rPr>
      </w:pPr>
    </w:p>
    <w:p>
      <w:pPr>
        <w:spacing w:beforeLines="0" w:afterLines="0"/>
        <w:jc w:val="both"/>
        <w:rPr>
          <w:rFonts w:hint="default" w:ascii="Times New Roman" w:hAnsi="Times New Roman" w:cs="Times New Roman"/>
          <w:b/>
          <w:sz w:val="24"/>
          <w:szCs w:val="24"/>
        </w:rPr>
      </w:pPr>
      <w:r>
        <w:rPr>
          <w:rFonts w:hint="default" w:ascii="Times New Roman" w:hAnsi="Times New Roman" w:cs="Times New Roman"/>
          <w:b/>
          <w:sz w:val="24"/>
          <w:szCs w:val="24"/>
        </w:rPr>
        <w:t>CLÁUSULA SEXTA – DO CANCELAMENTO DA ATA DE REGISTRO DE PREÇOS</w:t>
      </w:r>
    </w:p>
    <w:p>
      <w:pPr>
        <w:spacing w:beforeLines="0" w:afterLines="0"/>
        <w:jc w:val="both"/>
        <w:rPr>
          <w:rFonts w:hint="default" w:ascii="Times New Roman" w:hAnsi="Times New Roman" w:cs="Times New Roman"/>
          <w:sz w:val="24"/>
          <w:szCs w:val="24"/>
        </w:rPr>
      </w:pP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6.1 Esta Ata de Registro de Preços poderá ser cancelada pela Administração:</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6.1.1 - Automaticamente:</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a) por decurso de prazo de vigência;</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b) quando não restarem fornecedores registrados;</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c) quando caracterizado o interesse público.</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6.2 O Proponente terá o seu registro de preços cancelado na Ata, por intermédio de processo administrativo específico, assegurado o contraditório e ampla defesa:</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6.2.1- A pedido, quando:</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a) comprovar estar impossibilitado de cumprir as exigências da Ata, por ocorrência de casos fortuitos ou de força maior;</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b) o seu preço registrado se tornar, comprovadamente, inexequível em função da elevação dos preços de mercado dos insumos que compõem o custo do serviço.</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6.2.2 A solicitação dos fornecedores para cancelamento dos preços registrados deverá ser formulada com a antecedência de 30 (trinta) dias, facultada à Administração a aplicação das penalidades previstas na cláusula Sétima desta Ata, caso não aceitas as razões do pedido.</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6.3 Por iniciativa da Administração Municipal, quando:</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6.3.1 o fornecedor que perder qualquer condição de habilitação exigida no processo licitatório, ou seja, não cumprir o estabelecido no item 8 do Edital;</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6.3.2 por razões de interesse público, devidamente motivadas e justificadas;</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6.3.3 o fornecedor não cumprir as obrigações decorrentes desta Ata de Registro de Preços;</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6.3.4 o fornecedor não comparecer ou se recusar a retirar, no prazo estabelecido, os pedidos decorrentes desta Ata de Registro de Preços;</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6.3.5 caracterizada qualquer hipótese de inexecução total ou parcial das condições estabelecidas nesta Ata de Registro de Preço ou nos pedidos dela decorrentes;</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6.3.6 não aceitar reduzir seu preço registrado, na hipótese de este se tornar superior àqueles praticados no mercado.</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6.4 A comunicação do cancelamento do preço registrado, nos casos previstos, será feita pessoalmente, por meio de documento oficial ou Através de publicação por meio do veiculo oficial de publicação.</w:t>
      </w:r>
    </w:p>
    <w:p>
      <w:pPr>
        <w:spacing w:beforeLines="0" w:afterLines="0"/>
        <w:jc w:val="both"/>
        <w:rPr>
          <w:rFonts w:hint="default" w:ascii="Times New Roman" w:hAnsi="Times New Roman" w:cs="Times New Roman"/>
          <w:sz w:val="24"/>
          <w:szCs w:val="24"/>
        </w:rPr>
      </w:pPr>
    </w:p>
    <w:p>
      <w:pPr>
        <w:spacing w:beforeLines="0" w:afterLines="0"/>
        <w:jc w:val="both"/>
        <w:rPr>
          <w:rFonts w:hint="default" w:ascii="Times New Roman" w:hAnsi="Times New Roman" w:cs="Times New Roman"/>
          <w:b/>
          <w:sz w:val="24"/>
          <w:szCs w:val="24"/>
        </w:rPr>
      </w:pPr>
      <w:r>
        <w:rPr>
          <w:rFonts w:hint="default" w:ascii="Times New Roman" w:hAnsi="Times New Roman" w:cs="Times New Roman"/>
          <w:b/>
          <w:sz w:val="24"/>
          <w:szCs w:val="24"/>
        </w:rPr>
        <w:t>CLAUSULA SÉTIMA – DA FISCALIZAÇÃO</w:t>
      </w:r>
    </w:p>
    <w:p>
      <w:pPr>
        <w:spacing w:beforeLines="0" w:afterLines="0"/>
        <w:jc w:val="both"/>
        <w:rPr>
          <w:rFonts w:hint="default" w:ascii="Times New Roman" w:hAnsi="Times New Roman" w:cs="Times New Roman"/>
          <w:sz w:val="24"/>
          <w:szCs w:val="24"/>
        </w:rPr>
      </w:pP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7.1 A fiscalização e o acompanhamento da entrega do material será realizada pelo Sr</w:t>
      </w:r>
      <w:r>
        <w:rPr>
          <w:rFonts w:hint="default" w:ascii="Times New Roman" w:hAnsi="Times New Roman" w:cs="Times New Roman"/>
          <w:sz w:val="24"/>
          <w:szCs w:val="24"/>
          <w:lang w:val="pt-BR"/>
        </w:rPr>
        <w:t>a</w:t>
      </w:r>
      <w:r>
        <w:rPr>
          <w:rFonts w:hint="default" w:ascii="Times New Roman" w:hAnsi="Times New Roman" w:cs="Times New Roman"/>
          <w:sz w:val="24"/>
          <w:szCs w:val="24"/>
        </w:rPr>
        <w:t xml:space="preserve"> </w:t>
      </w:r>
      <w:r>
        <w:rPr>
          <w:rFonts w:hint="default" w:ascii="Times New Roman" w:hAnsi="Times New Roman" w:cs="Times New Roman"/>
          <w:sz w:val="24"/>
          <w:szCs w:val="24"/>
          <w:lang w:val="pt-BR"/>
        </w:rPr>
        <w:t>Edione Mallagi</w:t>
      </w:r>
      <w:r>
        <w:rPr>
          <w:rFonts w:hint="default" w:ascii="Times New Roman" w:hAnsi="Times New Roman" w:cs="Times New Roman"/>
          <w:sz w:val="24"/>
          <w:szCs w:val="24"/>
        </w:rPr>
        <w:t>.</w:t>
      </w:r>
    </w:p>
    <w:p>
      <w:pPr>
        <w:spacing w:beforeLines="0" w:afterLines="0"/>
        <w:jc w:val="both"/>
        <w:rPr>
          <w:rFonts w:hint="default" w:ascii="Times New Roman" w:hAnsi="Times New Roman" w:cs="Times New Roman"/>
          <w:sz w:val="24"/>
          <w:szCs w:val="24"/>
        </w:rPr>
      </w:pPr>
    </w:p>
    <w:p>
      <w:pPr>
        <w:spacing w:beforeLines="0" w:afterLines="0"/>
        <w:jc w:val="both"/>
        <w:rPr>
          <w:rFonts w:hint="default" w:ascii="Times New Roman" w:hAnsi="Times New Roman" w:cs="Times New Roman"/>
          <w:b/>
          <w:sz w:val="24"/>
          <w:szCs w:val="24"/>
        </w:rPr>
      </w:pPr>
      <w:r>
        <w:rPr>
          <w:rFonts w:hint="default" w:ascii="Times New Roman" w:hAnsi="Times New Roman" w:cs="Times New Roman"/>
          <w:b/>
          <w:sz w:val="24"/>
          <w:szCs w:val="24"/>
        </w:rPr>
        <w:t>CLÁUSULA OITAVA – DAS DISPOSIÇÕES FINAIS E DO FORO</w:t>
      </w:r>
    </w:p>
    <w:p>
      <w:pPr>
        <w:spacing w:beforeLines="0" w:afterLines="0"/>
        <w:jc w:val="both"/>
        <w:rPr>
          <w:rFonts w:hint="default" w:ascii="Times New Roman" w:hAnsi="Times New Roman" w:cs="Times New Roman"/>
          <w:sz w:val="24"/>
          <w:szCs w:val="24"/>
        </w:rPr>
      </w:pP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8.1 Esta Ata de Registro de Preços não obriga a Administração a firmar as contratações com o Detentor da Ata, ficando-lhe facultada a utilização de outros meios, assegurada, nesta hipótese, a preferência do beneficiário do registro em igualdade de condições, nos termos do parágrafo quarto, artigo 15, da Lei Federal n°. 8.666/93 e suas alterações.</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8.2 O descumprimento do prazo de entrega sujeitará o fornecedor às sanções previstas no item 13 do edital de pregão presencial nº 03/2022, que desta Ata faz parte integrante.</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8.3 O registro de preços poderá ser suspenso ou cancelado no interesse da Administração e nas hipóteses dos artigos 77 e 78 da Lei Federal n° 8.666/93, ou a pedido justificado do interessado, presente às razões orientadas pela Teoria da Imprevisão.</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8.4 O detentor da ata deverá manter, enquanto vigorar o registro de preços e em compatibilidade com as obrigações por ele assumidas, todas as condições de habilitação e qualificação exigidas no edital de pregão nº 03/2022.</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8.5 Faz parte integrante desta Ata de Registro de Preços, aplicando-se lhe todos os seus dispositivos, o edital de pregão nº 03/2022 seus anexos com os termos aditados e a proposta da detentora da Ata naquilo que não contrariar as presentes disposições.</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As questões oriundas desta Ata e do procedimento licitatório que a precedeu, serão dirimidas no Foro da Comarca de Planalto/RS, esgotadas as vias administrativas.</w:t>
      </w:r>
    </w:p>
    <w:p>
      <w:pPr>
        <w:spacing w:beforeLines="0" w:afterLines="0"/>
        <w:jc w:val="both"/>
        <w:rPr>
          <w:rFonts w:hint="default" w:ascii="Times New Roman" w:hAnsi="Times New Roman" w:cs="Times New Roman"/>
          <w:sz w:val="24"/>
          <w:szCs w:val="24"/>
        </w:rPr>
      </w:pP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 xml:space="preserve">Planalto/RS, </w:t>
      </w:r>
      <w:r>
        <w:rPr>
          <w:rFonts w:hint="default" w:ascii="Times New Roman" w:hAnsi="Times New Roman" w:cs="Times New Roman"/>
          <w:sz w:val="24"/>
          <w:szCs w:val="24"/>
          <w:lang w:val="pt-BR"/>
        </w:rPr>
        <w:t>09</w:t>
      </w:r>
      <w:r>
        <w:rPr>
          <w:rFonts w:hint="default" w:ascii="Times New Roman" w:hAnsi="Times New Roman" w:cs="Times New Roman"/>
          <w:sz w:val="24"/>
          <w:szCs w:val="24"/>
        </w:rPr>
        <w:t xml:space="preserve"> de</w:t>
      </w:r>
      <w:r>
        <w:rPr>
          <w:rFonts w:hint="default" w:ascii="Times New Roman" w:hAnsi="Times New Roman" w:cs="Times New Roman"/>
          <w:sz w:val="24"/>
          <w:szCs w:val="24"/>
          <w:lang w:val="pt-BR"/>
        </w:rPr>
        <w:t xml:space="preserve"> fevereiro</w:t>
      </w:r>
      <w:r>
        <w:rPr>
          <w:rFonts w:hint="default" w:ascii="Times New Roman" w:hAnsi="Times New Roman" w:cs="Times New Roman"/>
          <w:sz w:val="24"/>
          <w:szCs w:val="24"/>
        </w:rPr>
        <w:t xml:space="preserve"> de 2022.</w:t>
      </w:r>
    </w:p>
    <w:p>
      <w:pPr>
        <w:spacing w:beforeLines="0" w:afterLines="0"/>
        <w:rPr>
          <w:rFonts w:hint="default" w:ascii="Times New Roman" w:hAnsi="Times New Roman" w:cs="Times New Roman"/>
          <w:sz w:val="24"/>
          <w:szCs w:val="24"/>
        </w:rPr>
      </w:pPr>
    </w:p>
    <w:p>
      <w:pPr>
        <w:spacing w:beforeLines="0" w:afterLines="0"/>
        <w:rPr>
          <w:rFonts w:hint="default"/>
          <w:sz w:val="22"/>
          <w:szCs w:val="24"/>
        </w:rPr>
      </w:pPr>
    </w:p>
    <w:p>
      <w:pPr>
        <w:spacing w:beforeLines="0" w:afterLines="0"/>
        <w:rPr>
          <w:rFonts w:hint="default"/>
          <w:b/>
          <w:sz w:val="20"/>
          <w:szCs w:val="24"/>
          <w:lang w:val="pt-BR"/>
        </w:rPr>
      </w:pPr>
      <w:r>
        <w:rPr>
          <w:rFonts w:hint="default"/>
          <w:b/>
          <w:sz w:val="20"/>
          <w:szCs w:val="24"/>
        </w:rPr>
        <w:t xml:space="preserve">MUNICIPIO DE PLANALTO                     </w:t>
      </w:r>
      <w:r>
        <w:rPr>
          <w:rFonts w:hint="default"/>
          <w:b/>
          <w:sz w:val="20"/>
          <w:szCs w:val="24"/>
          <w:lang w:val="pt-BR"/>
        </w:rPr>
        <w:t>UNIMÓVEIS COMÉRCIO DE MÓVEIS LTDA</w:t>
      </w:r>
    </w:p>
    <w:p>
      <w:pPr>
        <w:spacing w:beforeLines="0" w:afterLines="0"/>
        <w:rPr>
          <w:rFonts w:hint="default"/>
          <w:b/>
          <w:sz w:val="20"/>
          <w:szCs w:val="24"/>
          <w:lang w:val="pt-BR"/>
        </w:rPr>
      </w:pPr>
      <w:r>
        <w:rPr>
          <w:rFonts w:hint="default"/>
          <w:b/>
          <w:sz w:val="20"/>
          <w:szCs w:val="24"/>
          <w:lang w:val="pt-BR"/>
        </w:rPr>
        <w:t>Contratante                                     Contratada</w:t>
      </w:r>
      <w:bookmarkStart w:id="0" w:name="_GoBack"/>
    </w:p>
    <w:bookmarkEnd w:id="0"/>
    <w:sectPr>
      <w:pgSz w:w="11907" w:h="16840" w:orient="landscape"/>
      <w:pgMar w:top="2835" w:right="1134" w:bottom="1814" w:left="1134" w:header="254" w:footer="254" w:gutter="0"/>
      <w:lnNumType w:countBy="0" w:distance="360"/>
      <w:cols w:space="720"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1"/>
    <w:family w:val="auto"/>
    <w:pitch w:val="default"/>
    <w:sig w:usb0="E0002EFF" w:usb1="C000785B" w:usb2="00000009" w:usb3="00000000" w:csb0="400001FF" w:csb1="FFFF0000"/>
  </w:font>
  <w:font w:name="Calibri">
    <w:panose1 w:val="020F0502020204030204"/>
    <w:charset w:val="01"/>
    <w:family w:val="auto"/>
    <w:pitch w:val="default"/>
    <w:sig w:usb0="E4002EFF" w:usb1="C000247B" w:usb2="00000009" w:usb3="00000000" w:csb0="200001FF" w:csb1="00000000"/>
  </w:font>
  <w:font w:name="Tahoma">
    <w:panose1 w:val="020B0604030504040204"/>
    <w:charset w:val="01"/>
    <w:family w:val="auto"/>
    <w:pitch w:val="default"/>
    <w:sig w:usb0="E1002EFF" w:usb1="C000605B" w:usb2="00000029" w:usb3="00000000" w:csb0="200101FF" w:csb1="20280000"/>
  </w:font>
  <w:font w:name="Courier New">
    <w:panose1 w:val="02070309020205020404"/>
    <w:charset w:val="01"/>
    <w:family w:val="auto"/>
    <w:pitch w:val="default"/>
    <w:sig w:usb0="E0002EFF" w:usb1="C0007843" w:usb2="00000009" w:usb3="00000000" w:csb0="400001FF" w:csb1="FFFF0000"/>
  </w:font>
  <w:font w:name="Arial Narrow">
    <w:panose1 w:val="020B0606020202030204"/>
    <w:charset w:val="01"/>
    <w:family w:val="auto"/>
    <w:pitch w:val="default"/>
    <w:sig w:usb0="00000287" w:usb1="00000800" w:usb2="00000000" w:usb3="00000000" w:csb0="2000009F" w:csb1="DFD7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1"/>
  <w:displayVerticalDrawingGridEvery w:val="1"/>
  <w:characterSpacingControl w:val="compressPunctuation"/>
  <w:footnotePr>
    <w:footnote w:id="0"/>
    <w:footnote w:id="1"/>
  </w:foot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37DFE"/>
    <w:rsid w:val="000408D9"/>
    <w:rsid w:val="00050A31"/>
    <w:rsid w:val="000716D2"/>
    <w:rsid w:val="00071AAB"/>
    <w:rsid w:val="000B259C"/>
    <w:rsid w:val="000B76C4"/>
    <w:rsid w:val="000C5610"/>
    <w:rsid w:val="000E6552"/>
    <w:rsid w:val="000F3A4F"/>
    <w:rsid w:val="000F59AC"/>
    <w:rsid w:val="001364FE"/>
    <w:rsid w:val="001368DD"/>
    <w:rsid w:val="00147DB3"/>
    <w:rsid w:val="001518A5"/>
    <w:rsid w:val="00170095"/>
    <w:rsid w:val="00170E4F"/>
    <w:rsid w:val="001743F4"/>
    <w:rsid w:val="00187C33"/>
    <w:rsid w:val="001936B7"/>
    <w:rsid w:val="00196AB1"/>
    <w:rsid w:val="001A629E"/>
    <w:rsid w:val="001A7B8E"/>
    <w:rsid w:val="001B34FD"/>
    <w:rsid w:val="00201333"/>
    <w:rsid w:val="00210FA7"/>
    <w:rsid w:val="00216417"/>
    <w:rsid w:val="00221840"/>
    <w:rsid w:val="002263CE"/>
    <w:rsid w:val="0026631D"/>
    <w:rsid w:val="0028105B"/>
    <w:rsid w:val="0028508B"/>
    <w:rsid w:val="002C2F53"/>
    <w:rsid w:val="002D4A07"/>
    <w:rsid w:val="0033518C"/>
    <w:rsid w:val="003437C2"/>
    <w:rsid w:val="0036428A"/>
    <w:rsid w:val="00377186"/>
    <w:rsid w:val="003A1C03"/>
    <w:rsid w:val="003E765A"/>
    <w:rsid w:val="00411BF7"/>
    <w:rsid w:val="00414627"/>
    <w:rsid w:val="00425D63"/>
    <w:rsid w:val="004308B3"/>
    <w:rsid w:val="004643D8"/>
    <w:rsid w:val="00476AE6"/>
    <w:rsid w:val="00497C24"/>
    <w:rsid w:val="004C7BA5"/>
    <w:rsid w:val="004E7628"/>
    <w:rsid w:val="004F48F2"/>
    <w:rsid w:val="00511417"/>
    <w:rsid w:val="005149B1"/>
    <w:rsid w:val="00552936"/>
    <w:rsid w:val="005647F2"/>
    <w:rsid w:val="005662D1"/>
    <w:rsid w:val="00573A09"/>
    <w:rsid w:val="005A4526"/>
    <w:rsid w:val="005C1B16"/>
    <w:rsid w:val="005D6CCA"/>
    <w:rsid w:val="005E53D0"/>
    <w:rsid w:val="006002EB"/>
    <w:rsid w:val="006128EF"/>
    <w:rsid w:val="006264B4"/>
    <w:rsid w:val="006318CD"/>
    <w:rsid w:val="00643033"/>
    <w:rsid w:val="00644CC3"/>
    <w:rsid w:val="00661468"/>
    <w:rsid w:val="006649F0"/>
    <w:rsid w:val="006716B7"/>
    <w:rsid w:val="0067245D"/>
    <w:rsid w:val="0068470E"/>
    <w:rsid w:val="006957CB"/>
    <w:rsid w:val="00695DCD"/>
    <w:rsid w:val="006A05CC"/>
    <w:rsid w:val="006A35A7"/>
    <w:rsid w:val="006A4E15"/>
    <w:rsid w:val="006D5108"/>
    <w:rsid w:val="007152D7"/>
    <w:rsid w:val="007333E1"/>
    <w:rsid w:val="00746C14"/>
    <w:rsid w:val="007C2C59"/>
    <w:rsid w:val="007C7003"/>
    <w:rsid w:val="00801F23"/>
    <w:rsid w:val="008020D4"/>
    <w:rsid w:val="00837632"/>
    <w:rsid w:val="008409BE"/>
    <w:rsid w:val="0085640F"/>
    <w:rsid w:val="008567AA"/>
    <w:rsid w:val="00892712"/>
    <w:rsid w:val="008A680A"/>
    <w:rsid w:val="008B0BB0"/>
    <w:rsid w:val="008C4BEC"/>
    <w:rsid w:val="008E6C4B"/>
    <w:rsid w:val="008F18C0"/>
    <w:rsid w:val="00907648"/>
    <w:rsid w:val="00930FDE"/>
    <w:rsid w:val="0093526A"/>
    <w:rsid w:val="00943754"/>
    <w:rsid w:val="0094391A"/>
    <w:rsid w:val="00984C93"/>
    <w:rsid w:val="00987CE1"/>
    <w:rsid w:val="009906A4"/>
    <w:rsid w:val="0099405C"/>
    <w:rsid w:val="009C600F"/>
    <w:rsid w:val="009D3723"/>
    <w:rsid w:val="009E04F2"/>
    <w:rsid w:val="00A03B7B"/>
    <w:rsid w:val="00A200C9"/>
    <w:rsid w:val="00A250D5"/>
    <w:rsid w:val="00A32F56"/>
    <w:rsid w:val="00A36028"/>
    <w:rsid w:val="00A42B73"/>
    <w:rsid w:val="00A6596A"/>
    <w:rsid w:val="00A825CA"/>
    <w:rsid w:val="00A91424"/>
    <w:rsid w:val="00AA2C77"/>
    <w:rsid w:val="00AC3FB9"/>
    <w:rsid w:val="00AC702A"/>
    <w:rsid w:val="00AD226F"/>
    <w:rsid w:val="00AD2CA7"/>
    <w:rsid w:val="00AE41C8"/>
    <w:rsid w:val="00B13A52"/>
    <w:rsid w:val="00B24CF4"/>
    <w:rsid w:val="00B26993"/>
    <w:rsid w:val="00B352FA"/>
    <w:rsid w:val="00B4570C"/>
    <w:rsid w:val="00B5208C"/>
    <w:rsid w:val="00B74876"/>
    <w:rsid w:val="00BB3A9B"/>
    <w:rsid w:val="00BB7C2B"/>
    <w:rsid w:val="00BC1664"/>
    <w:rsid w:val="00BC2546"/>
    <w:rsid w:val="00BD2FE4"/>
    <w:rsid w:val="00C04849"/>
    <w:rsid w:val="00C05085"/>
    <w:rsid w:val="00C11270"/>
    <w:rsid w:val="00C1593D"/>
    <w:rsid w:val="00C56C7E"/>
    <w:rsid w:val="00C73368"/>
    <w:rsid w:val="00C776A4"/>
    <w:rsid w:val="00C9393C"/>
    <w:rsid w:val="00CA2C6C"/>
    <w:rsid w:val="00CB4E5A"/>
    <w:rsid w:val="00CC0600"/>
    <w:rsid w:val="00CC78AC"/>
    <w:rsid w:val="00CF346E"/>
    <w:rsid w:val="00CF7953"/>
    <w:rsid w:val="00D07232"/>
    <w:rsid w:val="00D10245"/>
    <w:rsid w:val="00D21BDD"/>
    <w:rsid w:val="00D65F07"/>
    <w:rsid w:val="00D86641"/>
    <w:rsid w:val="00D92BB7"/>
    <w:rsid w:val="00DC76D2"/>
    <w:rsid w:val="00DD30ED"/>
    <w:rsid w:val="00E6404D"/>
    <w:rsid w:val="00E64C21"/>
    <w:rsid w:val="00E922C6"/>
    <w:rsid w:val="00EC24C6"/>
    <w:rsid w:val="00EE6444"/>
    <w:rsid w:val="00EF2933"/>
    <w:rsid w:val="00F05146"/>
    <w:rsid w:val="00F1115D"/>
    <w:rsid w:val="00F3513C"/>
    <w:rsid w:val="00F465C5"/>
    <w:rsid w:val="00F5180D"/>
    <w:rsid w:val="00F51B21"/>
    <w:rsid w:val="00F51D87"/>
    <w:rsid w:val="00F534DB"/>
    <w:rsid w:val="00F76337"/>
    <w:rsid w:val="00F8455C"/>
    <w:rsid w:val="00FE1EC4"/>
    <w:rsid w:val="00FF2C93"/>
    <w:rsid w:val="24D23F54"/>
    <w:rsid w:val="41C44C3F"/>
    <w:rsid w:val="5B0132BC"/>
    <w:rsid w:val="617F76F8"/>
    <w:rsid w:val="705C05BD"/>
    <w:rsid w:val="7EBA29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uiPriority="99" w:semiHidden="0" w:name="Normal"/>
    <w:lsdException w:uiPriority="99" w:semiHidden="0" w:name="heading 1"/>
    <w:lsdException w:uiPriority="99" w:semiHidden="0" w:name="heading 2"/>
    <w:lsdException w:uiPriority="99" w:semiHidden="0" w:name="heading 3"/>
    <w:lsdException w:uiPriority="99" w:semiHidden="0" w:name="heading 4"/>
    <w:lsdException w:uiPriority="99" w:semiHidden="0" w:name="heading 5"/>
    <w:lsdException w:uiPriority="99" w:semiHidden="0" w:name="heading 6"/>
    <w:lsdException w:uiPriority="99" w:semiHidden="0" w:name="heading 7"/>
    <w:lsdException w:uiPriority="99" w:semiHidden="0" w:name="heading 8"/>
    <w:lsdException w:uiPriority="99"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iPriority="99"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iPriority="99" w:semiHidden="0" w:name="Body Text"/>
    <w:lsdException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iPriority="99" w:semiHidden="0" w:name="Body Text Indent 2"/>
    <w:lsdException w:uiPriority="99" w:semiHidden="0" w:name="Body Text Indent 3"/>
    <w:lsdException w:unhideWhenUsed="0" w:uiPriority="0" w:semiHidden="0" w:name="Block Text"/>
    <w:lsdException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iPriority="99" w:semiHidden="0" w:name="Document Map"/>
    <w:lsdException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iPriority="99" w:semiHidden="0" w:name="Balloon Text"/>
    <w:lsdException w:unhideWhenUsed="0" w:uiPriority="0" w:semiHidden="0" w:name="Table Grid"/>
    <w:lsdException w:unhideWhenUsed="0" w:uiPriority="0" w:semiHidden="0" w:name="Table Theme"/>
    <w:lsdException w:uiPriority="99" w:semiHidden="0" w:name="List Paragraph"/>
  </w:latentStyles>
  <w:style w:type="paragraph" w:default="1" w:styleId="1">
    <w:name w:val="Normal"/>
    <w:unhideWhenUsed/>
    <w:uiPriority w:val="99"/>
    <w:pPr>
      <w:widowControl w:val="0"/>
      <w:autoSpaceDE w:val="0"/>
      <w:autoSpaceDN w:val="0"/>
      <w:adjustRightInd w:val="0"/>
      <w:spacing w:beforeLines="0" w:afterLines="0"/>
    </w:pPr>
    <w:rPr>
      <w:rFonts w:hint="default" w:ascii="Times New Roman" w:hAnsi="Times New Roman" w:eastAsia="Times New Roman"/>
      <w:sz w:val="22"/>
      <w:szCs w:val="24"/>
    </w:rPr>
  </w:style>
  <w:style w:type="paragraph" w:styleId="2">
    <w:name w:val="heading 1"/>
    <w:unhideWhenUsed/>
    <w:uiPriority w:val="99"/>
    <w:pPr>
      <w:widowControl w:val="0"/>
      <w:autoSpaceDE w:val="0"/>
      <w:autoSpaceDN w:val="0"/>
      <w:adjustRightInd w:val="0"/>
      <w:spacing w:beforeLines="0" w:afterLines="0"/>
    </w:pPr>
    <w:rPr>
      <w:rFonts w:hint="default"/>
      <w:sz w:val="28"/>
      <w:szCs w:val="24"/>
    </w:rPr>
  </w:style>
  <w:style w:type="paragraph" w:styleId="3">
    <w:name w:val="heading 2"/>
    <w:unhideWhenUsed/>
    <w:uiPriority w:val="99"/>
    <w:pPr>
      <w:widowControl w:val="0"/>
      <w:autoSpaceDE w:val="0"/>
      <w:autoSpaceDN w:val="0"/>
      <w:adjustRightInd w:val="0"/>
      <w:spacing w:beforeLines="0" w:afterLines="0"/>
    </w:pPr>
    <w:rPr>
      <w:rFonts w:hint="default"/>
      <w:b/>
      <w:sz w:val="24"/>
      <w:szCs w:val="24"/>
    </w:rPr>
  </w:style>
  <w:style w:type="paragraph" w:styleId="4">
    <w:name w:val="heading 3"/>
    <w:unhideWhenUsed/>
    <w:uiPriority w:val="99"/>
    <w:pPr>
      <w:widowControl w:val="0"/>
      <w:autoSpaceDE w:val="0"/>
      <w:autoSpaceDN w:val="0"/>
      <w:adjustRightInd w:val="0"/>
      <w:spacing w:beforeLines="0" w:afterLines="0"/>
      <w:jc w:val="both"/>
    </w:pPr>
    <w:rPr>
      <w:rFonts w:hint="default"/>
      <w:sz w:val="24"/>
      <w:szCs w:val="24"/>
    </w:rPr>
  </w:style>
  <w:style w:type="paragraph" w:styleId="5">
    <w:name w:val="heading 4"/>
    <w:unhideWhenUsed/>
    <w:uiPriority w:val="99"/>
    <w:pPr>
      <w:widowControl w:val="0"/>
      <w:autoSpaceDE w:val="0"/>
      <w:autoSpaceDN w:val="0"/>
      <w:adjustRightInd w:val="0"/>
      <w:spacing w:beforeLines="0" w:afterLines="0"/>
    </w:pPr>
    <w:rPr>
      <w:rFonts w:hint="default"/>
      <w:sz w:val="24"/>
      <w:szCs w:val="24"/>
    </w:rPr>
  </w:style>
  <w:style w:type="paragraph" w:styleId="6">
    <w:name w:val="heading 5"/>
    <w:unhideWhenUsed/>
    <w:uiPriority w:val="99"/>
    <w:pPr>
      <w:widowControl w:val="0"/>
      <w:autoSpaceDE w:val="0"/>
      <w:autoSpaceDN w:val="0"/>
      <w:adjustRightInd w:val="0"/>
      <w:spacing w:beforeLines="0" w:afterLines="0"/>
      <w:ind w:left="2832" w:firstLine="708"/>
    </w:pPr>
    <w:rPr>
      <w:rFonts w:hint="default"/>
      <w:b/>
      <w:sz w:val="28"/>
      <w:szCs w:val="24"/>
    </w:rPr>
  </w:style>
  <w:style w:type="paragraph" w:styleId="7">
    <w:name w:val="heading 6"/>
    <w:unhideWhenUsed/>
    <w:uiPriority w:val="99"/>
    <w:pPr>
      <w:widowControl w:val="0"/>
      <w:autoSpaceDE w:val="0"/>
      <w:autoSpaceDN w:val="0"/>
      <w:adjustRightInd w:val="0"/>
      <w:spacing w:beforeLines="0" w:afterLines="0"/>
      <w:jc w:val="center"/>
    </w:pPr>
    <w:rPr>
      <w:rFonts w:hint="default"/>
      <w:b/>
      <w:sz w:val="24"/>
      <w:szCs w:val="24"/>
    </w:rPr>
  </w:style>
  <w:style w:type="paragraph" w:styleId="8">
    <w:name w:val="heading 7"/>
    <w:unhideWhenUsed/>
    <w:uiPriority w:val="99"/>
    <w:pPr>
      <w:widowControl w:val="0"/>
      <w:autoSpaceDE w:val="0"/>
      <w:autoSpaceDN w:val="0"/>
      <w:adjustRightInd w:val="0"/>
      <w:spacing w:beforeLines="0" w:afterLines="0"/>
      <w:jc w:val="center"/>
    </w:pPr>
    <w:rPr>
      <w:rFonts w:hint="default" w:ascii="Arial" w:hAnsi="Arial"/>
      <w:sz w:val="24"/>
      <w:szCs w:val="24"/>
    </w:rPr>
  </w:style>
  <w:style w:type="paragraph" w:styleId="9">
    <w:name w:val="heading 8"/>
    <w:unhideWhenUsed/>
    <w:uiPriority w:val="99"/>
    <w:pPr>
      <w:widowControl w:val="0"/>
      <w:autoSpaceDE w:val="0"/>
      <w:autoSpaceDN w:val="0"/>
      <w:adjustRightInd w:val="0"/>
      <w:spacing w:beforeLines="0" w:afterLines="0"/>
      <w:jc w:val="center"/>
    </w:pPr>
    <w:rPr>
      <w:rFonts w:hint="default" w:ascii="Calibri" w:hAnsi="Calibri" w:eastAsia="Calibri"/>
      <w:i/>
      <w:sz w:val="24"/>
      <w:szCs w:val="24"/>
    </w:rPr>
  </w:style>
  <w:style w:type="paragraph" w:styleId="10">
    <w:name w:val="heading 9"/>
    <w:unhideWhenUsed/>
    <w:uiPriority w:val="99"/>
    <w:pPr>
      <w:widowControl w:val="0"/>
      <w:autoSpaceDE w:val="0"/>
      <w:autoSpaceDN w:val="0"/>
      <w:adjustRightInd w:val="0"/>
      <w:spacing w:beforeLines="0" w:afterLines="0"/>
      <w:ind w:right="-568"/>
      <w:jc w:val="both"/>
    </w:pPr>
    <w:rPr>
      <w:rFonts w:hint="default" w:ascii="Arial" w:hAnsi="Arial"/>
      <w:b/>
      <w:sz w:val="24"/>
      <w:szCs w:val="24"/>
    </w:rPr>
  </w:style>
  <w:style w:type="character" w:default="1" w:styleId="11">
    <w:name w:val="Default Paragraph Font"/>
    <w:semiHidden/>
    <w:uiPriority w:val="0"/>
  </w:style>
  <w:style w:type="table" w:default="1" w:styleId="12">
    <w:name w:val="Normal Table"/>
    <w:semiHidden/>
    <w:uiPriority w:val="0"/>
    <w:tblPr>
      <w:tblCellMar>
        <w:top w:w="0" w:type="dxa"/>
        <w:left w:w="108" w:type="dxa"/>
        <w:bottom w:w="0" w:type="dxa"/>
        <w:right w:w="108" w:type="dxa"/>
      </w:tblCellMar>
    </w:tblPr>
  </w:style>
  <w:style w:type="character" w:styleId="13">
    <w:name w:val="Hyperlink"/>
    <w:unhideWhenUsed/>
    <w:uiPriority w:val="99"/>
    <w:rPr>
      <w:rFonts w:hAnsi="Times New Roman" w:eastAsia="Times New Roman"/>
      <w:shd w:val="clear"/>
    </w:rPr>
  </w:style>
  <w:style w:type="paragraph" w:styleId="14">
    <w:name w:val="Body Text"/>
    <w:unhideWhenUsed/>
    <w:uiPriority w:val="99"/>
    <w:pPr>
      <w:widowControl w:val="0"/>
      <w:autoSpaceDE w:val="0"/>
      <w:autoSpaceDN w:val="0"/>
      <w:adjustRightInd w:val="0"/>
      <w:spacing w:beforeLines="0" w:afterLines="0"/>
    </w:pPr>
    <w:rPr>
      <w:rFonts w:hint="default" w:ascii="Times New Roman" w:hAnsi="Times New Roman" w:eastAsia="Times New Roman"/>
      <w:b/>
      <w:sz w:val="20"/>
      <w:szCs w:val="24"/>
    </w:rPr>
  </w:style>
  <w:style w:type="paragraph" w:styleId="15">
    <w:name w:val="Body Text Indent 2"/>
    <w:unhideWhenUsed/>
    <w:uiPriority w:val="99"/>
    <w:pPr>
      <w:widowControl w:val="0"/>
      <w:autoSpaceDE w:val="0"/>
      <w:autoSpaceDN w:val="0"/>
      <w:adjustRightInd w:val="0"/>
      <w:spacing w:beforeLines="0" w:after="120" w:afterLines="0" w:line="480" w:lineRule="auto"/>
      <w:ind w:left="283"/>
    </w:pPr>
    <w:rPr>
      <w:rFonts w:hint="default" w:ascii="Arial Narrow" w:hAnsi="Arial Narrow" w:eastAsia="Arial Narrow"/>
      <w:sz w:val="24"/>
      <w:szCs w:val="24"/>
    </w:rPr>
  </w:style>
  <w:style w:type="paragraph" w:styleId="16">
    <w:name w:val="Plain Text"/>
    <w:unhideWhenUsed/>
    <w:uiPriority w:val="99"/>
    <w:pPr>
      <w:widowControl w:val="0"/>
      <w:autoSpaceDE w:val="0"/>
      <w:autoSpaceDN w:val="0"/>
      <w:adjustRightInd w:val="0"/>
      <w:spacing w:beforeLines="0" w:afterLines="0"/>
    </w:pPr>
    <w:rPr>
      <w:rFonts w:hint="default" w:ascii="Courier New" w:hAnsi="Courier New"/>
      <w:sz w:val="20"/>
      <w:szCs w:val="24"/>
    </w:rPr>
  </w:style>
  <w:style w:type="paragraph" w:styleId="17">
    <w:name w:val="header"/>
    <w:unhideWhenUsed/>
    <w:uiPriority w:val="99"/>
    <w:pPr>
      <w:widowControl w:val="0"/>
      <w:autoSpaceDE w:val="0"/>
      <w:autoSpaceDN w:val="0"/>
      <w:adjustRightInd w:val="0"/>
      <w:spacing w:beforeLines="0" w:afterLines="0"/>
    </w:pPr>
    <w:rPr>
      <w:rFonts w:hint="default" w:ascii="Arial Narrow" w:hAnsi="Arial Narrow" w:eastAsia="Arial Narrow"/>
      <w:sz w:val="24"/>
      <w:szCs w:val="24"/>
    </w:rPr>
  </w:style>
  <w:style w:type="paragraph" w:styleId="18">
    <w:name w:val="Document Map"/>
    <w:unhideWhenUsed/>
    <w:uiPriority w:val="99"/>
    <w:pPr>
      <w:widowControl w:val="0"/>
      <w:shd w:val="clear" w:color="auto" w:fill="000080"/>
      <w:autoSpaceDE w:val="0"/>
      <w:autoSpaceDN w:val="0"/>
      <w:adjustRightInd w:val="0"/>
      <w:spacing w:beforeLines="0" w:afterLines="0"/>
    </w:pPr>
    <w:rPr>
      <w:rFonts w:hint="default" w:ascii="Tahoma" w:hAnsi="Tahoma" w:eastAsia="Tahoma"/>
      <w:sz w:val="20"/>
      <w:szCs w:val="24"/>
    </w:rPr>
  </w:style>
  <w:style w:type="paragraph" w:styleId="19">
    <w:name w:val="Body Text Indent 3"/>
    <w:unhideWhenUsed/>
    <w:uiPriority w:val="99"/>
    <w:pPr>
      <w:widowControl w:val="0"/>
      <w:autoSpaceDE w:val="0"/>
      <w:autoSpaceDN w:val="0"/>
      <w:adjustRightInd w:val="0"/>
      <w:spacing w:beforeLines="0" w:afterLines="0"/>
      <w:ind w:firstLine="1680"/>
      <w:jc w:val="both"/>
    </w:pPr>
    <w:rPr>
      <w:rFonts w:hint="default" w:ascii="Arial" w:hAnsi="Arial"/>
      <w:b/>
      <w:sz w:val="24"/>
      <w:szCs w:val="24"/>
    </w:rPr>
  </w:style>
  <w:style w:type="paragraph" w:styleId="20">
    <w:name w:val="Balloon Text"/>
    <w:unhideWhenUsed/>
    <w:uiPriority w:val="99"/>
    <w:pPr>
      <w:widowControl w:val="0"/>
      <w:autoSpaceDE w:val="0"/>
      <w:autoSpaceDN w:val="0"/>
      <w:adjustRightInd w:val="0"/>
      <w:spacing w:beforeLines="0" w:afterLines="0"/>
    </w:pPr>
    <w:rPr>
      <w:rFonts w:hint="default" w:ascii="Tahoma" w:hAnsi="Tahoma" w:eastAsia="Tahoma"/>
      <w:sz w:val="16"/>
      <w:szCs w:val="24"/>
    </w:rPr>
  </w:style>
  <w:style w:type="paragraph" w:styleId="21">
    <w:name w:val="Body Text Indent"/>
    <w:unhideWhenUsed/>
    <w:uiPriority w:val="99"/>
    <w:pPr>
      <w:widowControl w:val="0"/>
      <w:autoSpaceDE w:val="0"/>
      <w:autoSpaceDN w:val="0"/>
      <w:adjustRightInd w:val="0"/>
      <w:spacing w:beforeLines="0" w:afterLines="0"/>
      <w:ind w:left="4962"/>
    </w:pPr>
    <w:rPr>
      <w:rFonts w:hint="default"/>
      <w:b/>
      <w:sz w:val="24"/>
      <w:szCs w:val="24"/>
    </w:rPr>
  </w:style>
  <w:style w:type="paragraph" w:styleId="22">
    <w:name w:val="List Paragraph"/>
    <w:unhideWhenUsed/>
    <w:uiPriority w:val="99"/>
    <w:pPr>
      <w:widowControl w:val="0"/>
      <w:autoSpaceDE w:val="0"/>
      <w:autoSpaceDN w:val="0"/>
      <w:adjustRightInd w:val="0"/>
      <w:spacing w:beforeLines="0" w:after="200" w:afterLines="0" w:line="276" w:lineRule="auto"/>
      <w:ind w:left="720"/>
    </w:pPr>
    <w:rPr>
      <w:rFonts w:hint="default" w:ascii="Calibri" w:hAnsi="Calibri" w:eastAsia="Calibri"/>
      <w:sz w:val="22"/>
      <w:szCs w:val="24"/>
    </w:rPr>
  </w:style>
  <w:style w:type="paragraph" w:customStyle="1" w:styleId="23">
    <w:name w:val="Texto padrão"/>
    <w:unhideWhenUsed/>
    <w:uiPriority w:val="99"/>
    <w:pPr>
      <w:widowControl w:val="0"/>
      <w:autoSpaceDE w:val="0"/>
      <w:autoSpaceDN w:val="0"/>
      <w:adjustRightInd w:val="0"/>
      <w:spacing w:beforeLines="0" w:afterLines="0"/>
    </w:pPr>
    <w:rPr>
      <w:rFonts w:hint="default" w:ascii="Arial" w:hAnsi="Arial"/>
      <w:sz w:val="24"/>
      <w:szCs w:val="24"/>
    </w:rPr>
  </w:style>
  <w:style w:type="paragraph" w:customStyle="1" w:styleId="24">
    <w:name w:val="WW-Corpo de texto 3"/>
    <w:unhideWhenUsed/>
    <w:uiPriority w:val="99"/>
    <w:pPr>
      <w:widowControl w:val="0"/>
      <w:autoSpaceDE w:val="0"/>
      <w:autoSpaceDN w:val="0"/>
      <w:adjustRightInd w:val="0"/>
      <w:spacing w:beforeLines="0" w:afterLines="0"/>
      <w:jc w:val="both"/>
    </w:pPr>
    <w:rPr>
      <w:rFonts w:hint="default" w:ascii="Courier New" w:hAnsi="Courier New"/>
      <w:color w:val="000000"/>
      <w:sz w:val="24"/>
      <w:szCs w:val="24"/>
    </w:rPr>
  </w:style>
  <w:style w:type="paragraph" w:customStyle="1" w:styleId="25">
    <w:name w:val="Título 6 Char"/>
    <w:basedOn w:val="11"/>
    <w:unhideWhenUsed/>
    <w:uiPriority w:val="99"/>
    <w:pPr>
      <w:spacing w:beforeLines="0" w:afterLines="0"/>
    </w:pPr>
    <w:rPr>
      <w:rFonts w:hint="default"/>
      <w:b/>
      <w:sz w:val="22"/>
      <w:szCs w:val="24"/>
    </w:rPr>
  </w:style>
  <w:style w:type="paragraph" w:customStyle="1" w:styleId="26">
    <w:name w:val="Título 7 Char"/>
    <w:basedOn w:val="11"/>
    <w:unhideWhenUsed/>
    <w:uiPriority w:val="99"/>
    <w:pPr>
      <w:spacing w:beforeLines="0" w:afterLines="0"/>
    </w:pPr>
    <w:rPr>
      <w:rFonts w:hint="default"/>
      <w:sz w:val="24"/>
      <w:szCs w:val="24"/>
    </w:rPr>
  </w:style>
  <w:style w:type="paragraph" w:customStyle="1" w:styleId="27">
    <w:name w:val="Título 8 Char"/>
    <w:basedOn w:val="11"/>
    <w:unhideWhenUsed/>
    <w:uiPriority w:val="99"/>
    <w:pPr>
      <w:spacing w:beforeLines="0" w:afterLines="0"/>
    </w:pPr>
    <w:rPr>
      <w:rFonts w:hint="default"/>
      <w:i/>
      <w:sz w:val="24"/>
      <w:szCs w:val="24"/>
    </w:rPr>
  </w:style>
  <w:style w:type="paragraph" w:customStyle="1" w:styleId="28">
    <w:name w:val="Texto sem Formatação Char"/>
    <w:unhideWhenUsed/>
    <w:uiPriority w:val="99"/>
    <w:pPr>
      <w:widowControl w:val="0"/>
      <w:autoSpaceDE w:val="0"/>
      <w:autoSpaceDN w:val="0"/>
      <w:adjustRightInd w:val="0"/>
      <w:spacing w:beforeLines="0" w:afterLines="0"/>
    </w:pPr>
    <w:rPr>
      <w:rFonts w:hint="default" w:ascii="Courier New" w:hAnsi="Courier New"/>
      <w:sz w:val="22"/>
      <w:szCs w:val="24"/>
    </w:rPr>
  </w:style>
  <w:style w:type="paragraph" w:customStyle="1" w:styleId="29">
    <w:name w:val="Default"/>
    <w:unhideWhenUsed/>
    <w:uiPriority w:val="99"/>
    <w:pPr>
      <w:widowControl w:val="0"/>
      <w:autoSpaceDE w:val="0"/>
      <w:autoSpaceDN w:val="0"/>
      <w:adjustRightInd w:val="0"/>
      <w:spacing w:beforeLines="0" w:afterLines="0"/>
    </w:pPr>
    <w:rPr>
      <w:rFonts w:hint="default" w:ascii="Arial" w:hAnsi="Arial"/>
      <w:color w:val="000000"/>
      <w:sz w:val="24"/>
      <w:szCs w:val="24"/>
    </w:rPr>
  </w:style>
  <w:style w:type="paragraph" w:customStyle="1" w:styleId="30">
    <w:name w:val="Table Paragraph"/>
    <w:unhideWhenUsed/>
    <w:uiPriority w:val="99"/>
    <w:pPr>
      <w:widowControl w:val="0"/>
      <w:autoSpaceDE w:val="0"/>
      <w:autoSpaceDN w:val="0"/>
      <w:adjustRightInd w:val="0"/>
      <w:spacing w:beforeLines="0" w:afterLines="0"/>
    </w:pPr>
    <w:rPr>
      <w:rFonts w:hint="default" w:ascii="Times New Roman" w:hAnsi="Times New Roman" w:eastAsia="Times New Roman"/>
      <w:sz w:val="22"/>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34</TotalTime>
  <ScaleCrop>false</ScaleCrop>
  <LinksUpToDate>false</LinksUpToDate>
  <CharactersWithSpaces>0</CharactersWithSpaces>
  <Application>WPS Office_11.2.0.10463_F1E327BC-269C-435d-A152-05C5408002CA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2020-07-28T16:53:00Z</dcterms:created>
  <dc:creator>Admin</dc:creator>
  <cp:lastModifiedBy>google1580733038</cp:lastModifiedBy>
  <dcterms:modified xsi:type="dcterms:W3CDTF">2022-02-09T17:14:47Z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1046-11.2.0.10463</vt:lpwstr>
  </property>
  <property fmtid="{D5CDD505-2E9C-101B-9397-08002B2CF9AE}" pid="3" name="ICV">
    <vt:lpwstr>7D4B9C7595284FDA9D855FC71A24865D</vt:lpwstr>
  </property>
</Properties>
</file>