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jc w:val="both"/>
        <w:rPr>
          <w:rFonts w:hint="default" w:ascii="Times New Roman" w:hAnsi="Times New Roman" w:cs="Times New Roman"/>
          <w:sz w:val="24"/>
          <w:szCs w:val="24"/>
        </w:rPr>
      </w:pPr>
    </w:p>
    <w:p>
      <w:pPr>
        <w:spacing w:beforeLines="0" w:afterLines="0"/>
        <w:jc w:val="center"/>
        <w:rPr>
          <w:rFonts w:hint="default" w:ascii="Times New Roman" w:hAnsi="Times New Roman" w:cs="Times New Roman"/>
          <w:b/>
          <w:sz w:val="24"/>
          <w:szCs w:val="24"/>
        </w:rPr>
      </w:pPr>
      <w:r>
        <w:rPr>
          <w:rFonts w:hint="default" w:ascii="Times New Roman" w:hAnsi="Times New Roman" w:cs="Times New Roman"/>
          <w:b/>
          <w:sz w:val="24"/>
          <w:szCs w:val="24"/>
        </w:rPr>
        <w:t xml:space="preserve">ATA DE REGISTRO DE PREÇO N° </w:t>
      </w:r>
      <w:r>
        <w:rPr>
          <w:rFonts w:hint="default" w:ascii="Times New Roman" w:hAnsi="Times New Roman" w:cs="Times New Roman"/>
          <w:b/>
          <w:sz w:val="24"/>
          <w:szCs w:val="24"/>
          <w:lang w:val="pt-BR"/>
        </w:rPr>
        <w:t>07</w:t>
      </w:r>
      <w:r>
        <w:rPr>
          <w:rFonts w:hint="default" w:ascii="Times New Roman" w:hAnsi="Times New Roman" w:cs="Times New Roman"/>
          <w:b/>
          <w:sz w:val="24"/>
          <w:szCs w:val="24"/>
        </w:rPr>
        <w:t>/2022</w:t>
      </w:r>
    </w:p>
    <w:p>
      <w:pPr>
        <w:spacing w:beforeLines="0" w:afterLines="0"/>
        <w:jc w:val="center"/>
        <w:rPr>
          <w:rFonts w:hint="default" w:ascii="Times New Roman" w:hAnsi="Times New Roman" w:cs="Times New Roman"/>
          <w:b/>
          <w:sz w:val="24"/>
          <w:szCs w:val="24"/>
        </w:rPr>
      </w:pPr>
      <w:r>
        <w:rPr>
          <w:rFonts w:hint="default" w:ascii="Times New Roman" w:hAnsi="Times New Roman" w:cs="Times New Roman"/>
          <w:b/>
          <w:sz w:val="24"/>
          <w:szCs w:val="24"/>
        </w:rPr>
        <w:t>PROCESSO LICITATÓRIO Nº 06/2022</w:t>
      </w:r>
    </w:p>
    <w:p>
      <w:pPr>
        <w:spacing w:beforeLines="0" w:afterLines="0"/>
        <w:jc w:val="center"/>
        <w:rPr>
          <w:rFonts w:hint="default" w:ascii="Times New Roman" w:hAnsi="Times New Roman" w:cs="Times New Roman"/>
          <w:b/>
          <w:sz w:val="24"/>
          <w:szCs w:val="24"/>
        </w:rPr>
      </w:pPr>
      <w:r>
        <w:rPr>
          <w:rFonts w:hint="default" w:ascii="Times New Roman" w:hAnsi="Times New Roman" w:cs="Times New Roman"/>
          <w:b/>
          <w:sz w:val="24"/>
          <w:szCs w:val="24"/>
        </w:rPr>
        <w:t>PREGÃO PRESENCIAL REGISTRO DE PREÇO N° 03/2022</w:t>
      </w:r>
    </w:p>
    <w:p>
      <w:pPr>
        <w:spacing w:beforeLines="0" w:afterLines="0"/>
        <w:jc w:val="center"/>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Aos xx dias do mês de xxxx do ano de dois mil e vinte e dois, o MUNICÍPIO DE PLANALTO/RS, pessoa jurídica de direto público interno, inscrito no CNPJ sob nº 87.612.891/0001-15, com sede administrativa na Rua Humberto de Campos, nº 732, Centro, na cidade de Planalto, Estado do Rio Grande do Sul, CEP 98.470-000, neste ato representado por seu Prefeito Municipal Sr. CRISTIANO GNOATTO, brasileiro, inscrito no CPF sob nº 636.783.570-91 e portador da cédula de identidade nº 6064114777, residente e domiciliado na Rua D. Pedro II, n° 1051, nesta cidade de Planalto/RS, doravante denominado simplesmente ÓRGÃO GERENCIADOR, resolve registrar o preço oferecido pela empresa </w:t>
      </w:r>
      <w:r>
        <w:rPr>
          <w:rFonts w:hint="default" w:ascii="Times New Roman" w:hAnsi="Times New Roman" w:cs="Times New Roman"/>
          <w:sz w:val="24"/>
          <w:szCs w:val="24"/>
          <w:lang w:val="pt-BR"/>
        </w:rPr>
        <w:t xml:space="preserve">LEANDRO ALBERTO KERBER LTDA, </w:t>
      </w:r>
      <w:r>
        <w:rPr>
          <w:rFonts w:hint="default" w:ascii="Times New Roman" w:hAnsi="Times New Roman" w:cs="Times New Roman"/>
          <w:sz w:val="24"/>
          <w:szCs w:val="24"/>
        </w:rPr>
        <w:t xml:space="preserve">pessoa jurídica de direito privado, estabelecida na Rua </w:t>
      </w:r>
      <w:r>
        <w:rPr>
          <w:rFonts w:hint="default" w:ascii="Times New Roman" w:hAnsi="Times New Roman" w:cs="Times New Roman"/>
          <w:sz w:val="24"/>
          <w:szCs w:val="24"/>
          <w:lang w:val="pt-BR"/>
        </w:rPr>
        <w:t>Júlio de Castilho, 638,</w:t>
      </w:r>
      <w:r>
        <w:rPr>
          <w:rFonts w:hint="default" w:ascii="Times New Roman" w:hAnsi="Times New Roman" w:cs="Times New Roman"/>
          <w:sz w:val="24"/>
          <w:szCs w:val="24"/>
        </w:rPr>
        <w:t xml:space="preserve"> na cidade de </w:t>
      </w:r>
      <w:r>
        <w:rPr>
          <w:rFonts w:hint="default" w:ascii="Times New Roman" w:hAnsi="Times New Roman" w:cs="Times New Roman"/>
          <w:sz w:val="24"/>
          <w:szCs w:val="24"/>
          <w:lang w:val="pt-BR"/>
        </w:rPr>
        <w:t>São José do Inhacorá,</w:t>
      </w:r>
      <w:r>
        <w:rPr>
          <w:rFonts w:hint="default" w:ascii="Times New Roman" w:hAnsi="Times New Roman" w:cs="Times New Roman"/>
          <w:sz w:val="24"/>
          <w:szCs w:val="24"/>
        </w:rPr>
        <w:t xml:space="preserve"> Estado d</w:t>
      </w:r>
      <w:r>
        <w:rPr>
          <w:rFonts w:hint="default" w:ascii="Times New Roman" w:hAnsi="Times New Roman" w:cs="Times New Roman"/>
          <w:sz w:val="24"/>
          <w:szCs w:val="24"/>
          <w:lang w:val="pt-BR"/>
        </w:rPr>
        <w:t>o Rio Grande do Sul</w:t>
      </w:r>
      <w:r>
        <w:rPr>
          <w:rFonts w:hint="default" w:ascii="Times New Roman" w:hAnsi="Times New Roman" w:cs="Times New Roman"/>
          <w:sz w:val="24"/>
          <w:szCs w:val="24"/>
        </w:rPr>
        <w:t xml:space="preserve">, inscrita no CNPJ sob n° </w:t>
      </w:r>
      <w:r>
        <w:rPr>
          <w:rFonts w:hint="default" w:ascii="Times New Roman" w:hAnsi="Times New Roman" w:cs="Times New Roman"/>
          <w:sz w:val="24"/>
          <w:szCs w:val="24"/>
          <w:lang w:val="pt-BR"/>
        </w:rPr>
        <w:t>42.921.840/0001-37</w:t>
      </w:r>
      <w:r>
        <w:rPr>
          <w:rFonts w:hint="default" w:ascii="Times New Roman" w:hAnsi="Times New Roman" w:cs="Times New Roman"/>
          <w:sz w:val="24"/>
          <w:szCs w:val="24"/>
        </w:rPr>
        <w:t>, neste ato representada pelo (a) Sr. (a)</w:t>
      </w:r>
      <w:r>
        <w:rPr>
          <w:rFonts w:hint="default" w:ascii="Times New Roman" w:hAnsi="Times New Roman" w:cs="Times New Roman"/>
          <w:sz w:val="24"/>
          <w:szCs w:val="24"/>
          <w:lang w:val="pt-BR"/>
        </w:rPr>
        <w:t xml:space="preserve"> Leandro Alberto Kerber</w:t>
      </w:r>
      <w:r>
        <w:rPr>
          <w:rFonts w:hint="default" w:ascii="Times New Roman" w:hAnsi="Times New Roman" w:cs="Times New Roman"/>
          <w:sz w:val="24"/>
          <w:szCs w:val="24"/>
        </w:rPr>
        <w:t xml:space="preserve">, inscrita no CPF/MF sob n° </w:t>
      </w:r>
      <w:r>
        <w:rPr>
          <w:rFonts w:hint="default" w:ascii="Times New Roman" w:hAnsi="Times New Roman" w:cs="Times New Roman"/>
          <w:sz w:val="24"/>
          <w:szCs w:val="24"/>
          <w:lang w:val="pt-BR"/>
        </w:rPr>
        <w:t>770.683.410-53</w:t>
      </w:r>
      <w:r>
        <w:rPr>
          <w:rFonts w:hint="default" w:ascii="Times New Roman" w:hAnsi="Times New Roman" w:cs="Times New Roman"/>
          <w:sz w:val="24"/>
          <w:szCs w:val="24"/>
        </w:rPr>
        <w:t xml:space="preserve"> e portador da cédula de identidade n° </w:t>
      </w:r>
      <w:r>
        <w:rPr>
          <w:rFonts w:hint="default" w:ascii="Times New Roman" w:hAnsi="Times New Roman" w:cs="Times New Roman"/>
          <w:sz w:val="24"/>
          <w:szCs w:val="24"/>
          <w:lang w:val="pt-BR"/>
        </w:rPr>
        <w:t>3039655141</w:t>
      </w:r>
      <w:r>
        <w:rPr>
          <w:rFonts w:hint="default" w:ascii="Times New Roman" w:hAnsi="Times New Roman" w:cs="Times New Roman"/>
          <w:sz w:val="24"/>
          <w:szCs w:val="24"/>
        </w:rPr>
        <w:t>, denominado simplesmente FORNECEDOR REGISTRADO.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Este instrumento guarda inteira conformidade com os termos do Pregão Presencial para Registro de Preços 03/2022 e seus Anexos, do qual é parte integrante e complementar, regendo-se o mesmo pela Lei Federal n.º 8.666, de 21 de junho de 1993, lei nº 10.520/02 e pela legislação pertinente, pelos termos da proposta e pelas cláusulas a seguir expressas.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PRIMEIRA - DO OBJETO E PREÇO</w:t>
      </w:r>
      <w:bookmarkStart w:id="0" w:name="_GoBack"/>
      <w:bookmarkEnd w:id="0"/>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1.1 Este termo tem por objeto o Registro de Preços para a AQUISIÇÃO DE CAMINHAS EMPILHÁVEIS, CARRINHOS DE PASSEIO PARA BEBÊ, COLCHONETES E MESA COM CINCO LUGARES PARA ALIMENTAÇÃO, visando à estruturação das atividades desenvolvidas junto aos Centros de Educação Infantil/Creches do Município de Planalto/RS, na quantidade estimada abaixo.</w:t>
      </w:r>
    </w:p>
    <w:tbl>
      <w:tblPr>
        <w:tblStyle w:val="12"/>
        <w:tblpPr w:leftFromText="180" w:rightFromText="180" w:vertAnchor="text" w:horzAnchor="page" w:tblpX="1137" w:tblpY="285"/>
        <w:tblOverlap w:val="never"/>
        <w:tblW w:w="96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8"/>
        <w:gridCol w:w="1107"/>
        <w:gridCol w:w="601"/>
        <w:gridCol w:w="4616"/>
        <w:gridCol w:w="5"/>
        <w:gridCol w:w="1392"/>
        <w:gridCol w:w="3"/>
        <w:gridCol w:w="1334"/>
        <w:gridCol w:w="14"/>
        <w:gridCol w:w="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2"/>
          <w:wAfter w:w="15" w:type="dxa"/>
        </w:trPr>
        <w:tc>
          <w:tcPr>
            <w:tcW w:w="9586" w:type="dxa"/>
            <w:gridSpan w:val="8"/>
            <w:tcBorders>
              <w:top w:val="single" w:color="auto" w:sz="4" w:space="0"/>
              <w:left w:val="single" w:color="auto" w:sz="4" w:space="0"/>
              <w:bottom w:val="nil"/>
              <w:right w:val="single" w:color="auto" w:sz="4" w:space="0"/>
              <w:tl2br w:val="nil"/>
              <w:tr2bl w:val="nil"/>
            </w:tcBorders>
            <w:noWrap w:val="0"/>
            <w:vAlign w:val="top"/>
          </w:tcPr>
          <w:p>
            <w:pPr>
              <w:spacing w:beforeLines="0" w:afterLines="0"/>
              <w:jc w:val="left"/>
              <w:rPr>
                <w:rFonts w:hint="default" w:ascii="Times New Roman" w:hAnsi="Times New Roman" w:eastAsia="Times New Roman"/>
                <w:b/>
                <w:sz w:val="20"/>
                <w:szCs w:val="24"/>
              </w:rPr>
            </w:pPr>
            <w:r>
              <w:rPr>
                <w:rFonts w:hint="default" w:ascii="Times New Roman" w:hAnsi="Times New Roman" w:eastAsia="Times New Roman"/>
                <w:b/>
                <w:sz w:val="20"/>
                <w:szCs w:val="24"/>
              </w:rPr>
              <w:t xml:space="preserve">Empresa: </w:t>
            </w:r>
            <w:r>
              <w:rPr>
                <w:rFonts w:hint="default" w:ascii="Times New Roman" w:hAnsi="Times New Roman" w:eastAsia="Times New Roman"/>
                <w:b/>
                <w:sz w:val="20"/>
                <w:szCs w:val="24"/>
              </w:rPr>
              <w:fldChar w:fldCharType="begin"/>
            </w:r>
            <w:r>
              <w:rPr>
                <w:rFonts w:hint="default" w:ascii="Times New Roman" w:hAnsi="Times New Roman" w:eastAsia="Times New Roman"/>
                <w:b/>
                <w:sz w:val="20"/>
                <w:szCs w:val="24"/>
              </w:rPr>
              <w:instrText xml:space="preserve">MERGEFIELD EMPRESAS_COM_ITENS_VENCEDORES.NOME_PES</w:instrText>
            </w:r>
            <w:r>
              <w:rPr>
                <w:rFonts w:hint="default" w:ascii="Times New Roman" w:hAnsi="Times New Roman" w:eastAsia="Times New Roman"/>
                <w:b/>
                <w:sz w:val="20"/>
                <w:szCs w:val="24"/>
              </w:rPr>
              <w:fldChar w:fldCharType="separate"/>
            </w:r>
            <w:r>
              <w:rPr>
                <w:rFonts w:hint="default" w:ascii="Times New Roman" w:hAnsi="Times New Roman" w:eastAsia="Times New Roman"/>
                <w:b/>
                <w:sz w:val="20"/>
                <w:szCs w:val="24"/>
              </w:rPr>
              <w:t>LEANDRO ALBERTO KERBER LTDA</w:t>
            </w:r>
            <w:r>
              <w:rPr>
                <w:rFonts w:hint="default" w:ascii="Times New Roman" w:hAnsi="Times New Roman" w:eastAsia="Times New Roman"/>
                <w:b/>
                <w:sz w:val="20"/>
                <w:szCs w:val="24"/>
              </w:rPr>
              <w:fldChar w:fldCharType="end"/>
            </w:r>
            <w:r>
              <w:rPr>
                <w:rFonts w:hint="default" w:ascii="Times New Roman" w:hAnsi="Times New Roman" w:eastAsia="Times New Roman"/>
                <w:b/>
                <w:sz w:val="20"/>
                <w:szCs w:val="24"/>
              </w:rPr>
              <w:t xml:space="preserve"> - </w:t>
            </w:r>
            <w:r>
              <w:rPr>
                <w:rFonts w:hint="default" w:ascii="Times New Roman" w:hAnsi="Times New Roman" w:eastAsia="Times New Roman"/>
                <w:b/>
                <w:sz w:val="20"/>
                <w:szCs w:val="24"/>
              </w:rPr>
              <w:fldChar w:fldCharType="begin"/>
            </w:r>
            <w:r>
              <w:rPr>
                <w:rFonts w:hint="default" w:ascii="Times New Roman" w:hAnsi="Times New Roman" w:eastAsia="Times New Roman"/>
                <w:b/>
                <w:sz w:val="20"/>
                <w:szCs w:val="24"/>
              </w:rPr>
              <w:instrText xml:space="preserve">MERGEFIELD EMPRESAS_COM_ITENS_VENCEDORES.COD_PES</w:instrText>
            </w:r>
            <w:r>
              <w:rPr>
                <w:rFonts w:hint="default" w:ascii="Times New Roman" w:hAnsi="Times New Roman" w:eastAsia="Times New Roman"/>
                <w:b/>
                <w:sz w:val="20"/>
                <w:szCs w:val="24"/>
              </w:rPr>
              <w:fldChar w:fldCharType="separate"/>
            </w:r>
            <w:r>
              <w:rPr>
                <w:rFonts w:hint="default" w:ascii="Times New Roman" w:hAnsi="Times New Roman" w:eastAsia="Times New Roman"/>
                <w:b/>
                <w:sz w:val="20"/>
                <w:szCs w:val="24"/>
              </w:rPr>
              <w:t>15219</w:t>
            </w:r>
            <w:r>
              <w:rPr>
                <w:rFonts w:hint="default" w:ascii="Times New Roman" w:hAnsi="Times New Roman" w:eastAsia="Times New Roman"/>
                <w:b/>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blHeader/>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Item</w:t>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Quant</w:t>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b/>
                <w:sz w:val="20"/>
                <w:szCs w:val="24"/>
              </w:rPr>
            </w:pPr>
            <w:r>
              <w:rPr>
                <w:rFonts w:hint="default" w:ascii="Times New Roman" w:hAnsi="Times New Roman" w:eastAsia="Times New Roman"/>
                <w:b/>
                <w:sz w:val="20"/>
                <w:szCs w:val="24"/>
              </w:rPr>
              <w:t>Unid.</w:t>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b/>
                <w:sz w:val="20"/>
                <w:szCs w:val="24"/>
              </w:rPr>
            </w:pPr>
            <w:r>
              <w:rPr>
                <w:rFonts w:hint="default" w:ascii="Times New Roman" w:hAnsi="Times New Roman" w:eastAsia="Times New Roman"/>
                <w:b/>
                <w:sz w:val="20"/>
                <w:szCs w:val="24"/>
              </w:rPr>
              <w:t>Produto</w:t>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Valor Unit.</w:t>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Valor Total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Caminha empilhável, material termoplástico, com tela vazada, com ventilação, lavável, confortável, antitranspirante  pés articuláveis e com borracha, cores diversas. Comprimento 1,25cmx59cmx12cm.</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311,50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9.345,00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852" w:type="dxa"/>
            <w:gridSpan w:val="4"/>
            <w:tcBorders>
              <w:top w:val="single" w:color="auto" w:sz="4" w:space="0"/>
              <w:left w:val="single" w:color="auto" w:sz="4" w:space="0"/>
              <w:bottom w:val="single" w:color="auto" w:sz="4" w:space="0"/>
              <w:right w:val="nil"/>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Total dos Produtos</w:t>
            </w:r>
          </w:p>
        </w:tc>
        <w:tc>
          <w:tcPr>
            <w:tcW w:w="1400" w:type="dxa"/>
            <w:gridSpan w:val="3"/>
            <w:tcBorders>
              <w:top w:val="single" w:color="auto" w:sz="4" w:space="0"/>
              <w:left w:val="nil"/>
              <w:bottom w:val="single" w:color="auto" w:sz="4" w:space="0"/>
              <w:right w:val="single" w:color="auto" w:sz="4" w:space="0"/>
              <w:tl2br w:val="nil"/>
              <w:tr2bl w:val="nil"/>
            </w:tcBorders>
            <w:noWrap w:val="0"/>
            <w:vAlign w:val="top"/>
          </w:tcPr>
          <w:p>
            <w:pPr>
              <w:spacing w:beforeLines="0" w:afterLines="0"/>
              <w:jc w:val="left"/>
              <w:rPr>
                <w:rFonts w:hint="default"/>
                <w:sz w:val="22"/>
                <w:szCs w:val="24"/>
              </w:rPr>
            </w:pPr>
          </w:p>
        </w:tc>
        <w:tc>
          <w:tcPr>
            <w:tcW w:w="1349"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fldChar w:fldCharType="begin"/>
            </w:r>
            <w:r>
              <w:rPr>
                <w:rFonts w:hint="default" w:ascii="Times New Roman" w:hAnsi="Times New Roman" w:eastAsia="Times New Roman"/>
                <w:b/>
                <w:sz w:val="20"/>
                <w:szCs w:val="24"/>
              </w:rPr>
              <w:instrText xml:space="preserve">MERGEFIELD EMPRESAS_COM_ITENS_VENCEDORES.TOTALGERAL</w:instrText>
            </w:r>
            <w:r>
              <w:rPr>
                <w:rFonts w:hint="default" w:ascii="Times New Roman" w:hAnsi="Times New Roman" w:eastAsia="Times New Roman"/>
                <w:b/>
                <w:sz w:val="20"/>
                <w:szCs w:val="24"/>
              </w:rPr>
              <w:fldChar w:fldCharType="separate"/>
            </w:r>
            <w:r>
              <w:rPr>
                <w:rFonts w:hint="default" w:ascii="Times New Roman" w:hAnsi="Times New Roman" w:eastAsia="Times New Roman"/>
                <w:b/>
                <w:sz w:val="20"/>
                <w:szCs w:val="24"/>
              </w:rPr>
              <w:t>9.345,00</w:t>
            </w:r>
            <w:r>
              <w:rPr>
                <w:rFonts w:hint="default" w:ascii="Times New Roman" w:hAnsi="Times New Roman" w:eastAsia="Times New Roman"/>
                <w:b/>
                <w:sz w:val="20"/>
                <w:szCs w:val="24"/>
              </w:rPr>
              <w:fldChar w:fldCharType="end"/>
            </w:r>
          </w:p>
        </w:tc>
      </w:tr>
    </w:tbl>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1.2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1.3 Ao assinar este Contrato, a CONTRATADA declara que tomou pleno conhecimento da natureza e condições locais onde serão executados os serviços objeto do presente Contrato. Não será considerada pela CONTRATANTE qualquer reclamação ou reivindicação por parte da CONTRATADA fundamentada na falta de conhecimento dessas condições.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1.4 Todos os equipamentos e materiais utilizados na prestação dos serviços/fornecimento dos materiais deverão atender às exigências mínimas de qualidade, observados os padrões e normas baixadas pelos órgãos competentes de controle de qualidade Industrial atentando-se a contratada, principalmente, para as prescrições contidas no art. 39, VIII, da Lei 8.078/90 (Código de Defesa do Consumidor).</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SEGUNDA – DA VALIDADE DA ATA</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2.1 A presente Ata de Registro de Preços terá validade de 12 (doze) meses consecutivos contados da data de assinatura deste termo.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2.2 Durante o prazo de validade desta Ata de Registro de Preço, o Município de Planalto/RS, não será obrigado a firmar as contratações que dela poderão advir, facultando-se lhe a realização de licitação específica para a aquisição pretendida, sendo assegurado ao(s) beneficiário(s) do registro preferência de fornecimento em igualdade de condições.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2.3 Os preços, durante a vigência da Ata, serão fixos e irreajustáveis, exceto nas hipóteses devidamente comprovadas, de ocorrência de situação prevista na alínea “d” do inciso II do art. 65 da Lei 8.666/93 ou de redução dos preços praticados no mercado.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2.4 A Ata poderá sofrer alterações de acordo com as condições estabelecidas no art. 65 da Lei 8.666/93.</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TERCEIRA – DA ENTREGA</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3.1 A entrega do objeto desta licitação deverá se dar num prazo máximo de 15(quinze) dias, contados a partir da emissão e recebimento da Autorização de Fornecimento.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3.2 Os materiais/produtos, objeto desta licitação, deverão ser entregues na Secretaria de Educação, situado no endereço: Rua Humberto de Campos, 732, Centro, Planalto/RS.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3.3 No caso de se constatar qualquer irregularidade ou incompatibilidade nos itens fornecidos em relação à proposta comercial da contratada ou em relação às condições expressas neste Edital, os mesmos serão sumariamente rejeitados, sujeitando-se a contratada às penalidades constantes do Edital, item 13 e subitens.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3.4 A municipalidade se reserva o direito de adquirir somente parte dos produtos listados.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QUARTA – DO PAGAMENTO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4.1 O pagamento será efetuado no Departamento de Tesouraria, mediante apresentação da Nota Fiscal, devidamente certificada pelo órgão competente, recebedor do objeto licitado.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4.2 O Pagamento será efetuado através de ordem bancária e/ou depósito na conta do fornecedor.</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4.3 A(s) despesa(s) decorrente(s) do fornecimento do objeto desta licitação correrão às dotações informadas nas Autorizações de Fornecimento. (Decreto 7.892/2013, Art. 7º §2º).</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QUINTA – DAS PENALIDADES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 Nos termos do art. 87 da Lei n. 8.666/1993, pela inexecução total ou parcial do estabelecido neste edital de Licitação, este Município poderá aplicar à CONTRATADA as seguintes penalidades: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 – ADVERTÊNCIA: será aplicada por escrito, quando o CONTRATADO deixar de atender determinações necessárias à regularização de faltas ou defeitos concernentes à execução dos serviços ou entrega dos bens, bem como por atos que correspondam a pequenas irregularidades verificadas na execução deste instrumento, que venham ou não causar dano à Administração ou a terceiros;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II – MULTAS: serão aplicadas por infrações que obstaculizem a concretização do objeto licitado, por culpa do CONTRATADO, e compreenderão: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Atraso de até 10 (dez) dias na entrega do produto, execução de obra e/ou prestação do serviço, multa de 05% (cinco por cento) do valor atualizado do contrato;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Atraso superior a 10 (dez) dias na entrega do produto, execução de obra e/ou prestação do serviço, multa de 10% (dez por cento) do valor atualizado do contrato, sem prejuízo da rescisão unilateral por parte do Município de Planalto/RS;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c) Será aplicada multa de 15% (quinze por cento) sobre o valor total do contrato, pelo descumprimento de quaisquer das obrigações contidas no edital, ressalvadas aquelas para as quais tenham sido fixadas penalidades específicas, sem prejuízo da rescisão unilateral por parte do Município de Planalto/RS;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5.1.1 A multa deverá ser recolhida aos cofres do Município de Planalto/RS, dentro do prazo de 10 (dez) dias úteis após a respectiva notificação.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5.1.2 Não solvida a multa, nos termos aqui previstos, será ela descontada dos créditos existentes em nome da CONTRATADA ou, não havendo esses ou sendo ela maior que o crédito, lançados em dívida ativa e/ou cobrada judicialmente com ônus ao devedor em qualquer hipótese;</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5.1.3 As multas previstas neste inciso são cumulativas, ou seja, incidem umas sobre as outras, em seus limites incidentes sobre cada uma delas;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III – SUSPENSÃO TEMPORÁRIA DE CONTRATAR COM O MUNICÍPIO: A licitante será sancionada com a pena de suspensão temporária de licitar ou contratar com este Município e será descredenciada do seu Cadastro de Fornecedores, pelo prazo de até 02 (dois) anos, nos seguintes casos: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fizer declaração falsa;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deixar de entregar documentação ou apresentar documentação falsa;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c) ensejar o retardamento da execução do objeto;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d) não mantiver a proposta;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e) falhar injustificadamente ou fraudar a execução do contrato;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f) comportar-se de modo inidôneo ou cometer fraude fiscal;</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g) fornecer os produtos em desconformidade com o especificado;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h) não substituir no prazo estipulado os produtos recusados pelo Município;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IV – DECLARAÇÃO DE INIDONEIDADE PARA LICITAR OU CONTRATAR COM A ADMINISTRAÇÃO PÚBLICA: Enquanto perdurarem os motivos determinantes da punição ou até que seja promovida sua reabilitação perante a autoridade que aplicou a penalidade, será declarada inidônea para licitar e contratar com a Administração Pública, nos termos do artigo 87, inciso IV, da Lei 8.666/1993.</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5.2 A LICITANTE e/ou a CONTRATADA ficarão ainda sujeitas ao cancelamento de suas inscrições no Cadastro de Fornecedores deste Município.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5.3 As penalidades poderão ser aplicadas isolada ou cumulativamente, nos termos da lei.</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5.4 As penalidades deste edital e de seu contrato poderão ser aplicadas cumulativamente com as penalidades disposta no art. 7º, da Lei nº 10.520/02.</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5.5 Na aplicação das penalidades serão admitidos os recursos em lei, observando-se o contraditório e a ampla defesa.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5.6 As penalidades previstas poderão ser minoradas ou não serão aplicadas quando o descumprimento do estipulado no contrato ou no edital decorrer de justa causa ou impedimento devidamente comprovado e aceito pelo Município de Planalto/RS.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SEXTA – DO CANCELAMENTO DA ATA DE REGISTRO DE PREÇOS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6.1 Esta Ata de Registro de Preços poderá ser cancelada pela Administração: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6.1.1 - Automaticamente:</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por decurso de prazo de vigência;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quando não restarem fornecedores registrados;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c) quando caracterizado o interesse público.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6.2 O Proponente terá o seu registro de preços cancelado na Ata, por intermédio de processo administrativo específico, assegurado o contraditório e ampla defesa: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6.2.1- A pedido, quando: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comprovar estar impossibilitado de cumprir as exigências da Ata, por ocorrência de casos fortuitos ou de força maior;</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o seu preço registrado se tornar, comprovadamente, inexequível em função da elevação dos preços de mercado dos insumos que compõem o custo do serviço.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6.2.2 A solicitação dos fornecedores para cancelamento dos preços registrados deverá ser formulada com a antecedência de 30 (trinta) dias, facultada à Administração a aplicação das penalidades previstas na cláusula Sétima desta Ata, caso não aceitas as razões do pedido.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 Por iniciativa da Administração Municipal, quando: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6.3.1 o fornecedor que perder qualquer condição de habilitação exigida no processo licitatório, ou seja, não cumprir o estabelecido no item 8 do Edital;</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6.3.2 por razões de interesse público, devidamente motivadas e justificadas;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6.3.3 o fornecedor não cumprir as obrigações decorrentes desta Ata de Registro de Preços;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6.3.4 o fornecedor não comparecer ou se recusar a retirar, no prazo estabelecido, os pedidos decorrentes desta Ata de Registro de Preços;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6.3.5 caracterizada qualquer hipótese de inexecução total ou parcial das condições estabelecidas nesta Ata de Registro de Preço ou nos pedidos dela decorrentes;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6.3.6 não aceitar reduzir seu preço registrado, na hipótese de este se tornar superior àqueles praticados no mercado.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6.4 A comunicação do cancelamento do preço registrado, nos casos previstos, será feita pessoalmente, por meio de documento oficial ou Através de publicação por meio do veiculo oficial de publicação.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CLAUSULA SÉTIMA – DA FISCALIZAÇÃO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7.1 A fiscalização e o acompanhamento da entrega do material será realizada pelo Sr</w:t>
      </w:r>
      <w:r>
        <w:rPr>
          <w:rFonts w:hint="default" w:ascii="Times New Roman" w:hAnsi="Times New Roman" w:cs="Times New Roman"/>
          <w:sz w:val="24"/>
          <w:szCs w:val="24"/>
          <w:lang w:val="pt-BR"/>
        </w:rPr>
        <w:t>a</w:t>
      </w: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Edione Mallagi</w:t>
      </w:r>
      <w:r>
        <w:rPr>
          <w:rFonts w:hint="default" w:ascii="Times New Roman" w:hAnsi="Times New Roman" w:cs="Times New Roman"/>
          <w:sz w:val="24"/>
          <w:szCs w:val="24"/>
        </w:rPr>
        <w:t>.</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OITAVA – DAS DISPOSIÇÕES FINAIS E DO FORO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8.1 Esta Ata de Registro de Preços não obriga a Administração a firmar as contratações com o Detentor da Ata, ficando-lhe facultada a utilização de outros meios, assegurada, nesta hipótese, a preferência do beneficiário do registro em igualdade de condições, nos termos do parágrafo quarto, artigo 15, da Lei Federal n°. 8.666/93 e suas alterações.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8.2 O descumprimento do prazo de entrega sujeitará o fornecedor às sanções previstas no item 13 do edital de pregão presencial nº 03/2022, que desta Ata faz parte integrante.</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8.3 O registro de preços poderá ser suspenso ou cancelado no interesse da Administração e nas hipóteses dos artigos 77 e 78 da Lei Federal n° 8.666/93, ou a pedido justificado do interessado, presente às razões orientadas pela Teoria da Imprevisão.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8.4 O detentor da ata deverá manter, enquanto vigorar o registro de preços e em compatibilidade com as obrigações por ele assumidas, todas as condições de habilitação e qualificação exigidas no edital de pregão nº 03/2022.</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8.5 Faz parte integrante desta Ata de Registro de Preços, aplicando-se lhe todos os seus dispositivos, o edital de pregão nº 03/2022 seus anexos com os termos aditados e a proposta da detentora da Ata naquilo que não contrariar as presentes disposições.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As questões oriundas desta Ata e do procedimento licitatório que a precedeu, serão dirimidas no Foro da Comarca de Planalto/RS, esgotadas as vias administrativas.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Planalto/RS, </w:t>
      </w:r>
      <w:r>
        <w:rPr>
          <w:rFonts w:hint="default" w:ascii="Times New Roman" w:hAnsi="Times New Roman" w:cs="Times New Roman"/>
          <w:sz w:val="24"/>
          <w:szCs w:val="24"/>
          <w:lang w:val="pt-BR"/>
        </w:rPr>
        <w:t>09</w:t>
      </w:r>
      <w:r>
        <w:rPr>
          <w:rFonts w:hint="default" w:ascii="Times New Roman" w:hAnsi="Times New Roman" w:cs="Times New Roman"/>
          <w:sz w:val="24"/>
          <w:szCs w:val="24"/>
        </w:rPr>
        <w:t xml:space="preserve"> de</w:t>
      </w:r>
      <w:r>
        <w:rPr>
          <w:rFonts w:hint="default" w:ascii="Times New Roman" w:hAnsi="Times New Roman" w:cs="Times New Roman"/>
          <w:sz w:val="24"/>
          <w:szCs w:val="24"/>
          <w:lang w:val="pt-BR"/>
        </w:rPr>
        <w:t xml:space="preserve"> fevereiro</w:t>
      </w:r>
      <w:r>
        <w:rPr>
          <w:rFonts w:hint="default" w:ascii="Times New Roman" w:hAnsi="Times New Roman" w:cs="Times New Roman"/>
          <w:sz w:val="24"/>
          <w:szCs w:val="24"/>
        </w:rPr>
        <w:t xml:space="preserve"> de 2022.</w:t>
      </w:r>
    </w:p>
    <w:p>
      <w:pPr>
        <w:spacing w:beforeLines="0" w:afterLines="0"/>
        <w:rPr>
          <w:rFonts w:hint="default" w:ascii="Times New Roman" w:hAnsi="Times New Roman" w:cs="Times New Roman"/>
          <w:sz w:val="24"/>
          <w:szCs w:val="24"/>
        </w:rPr>
      </w:pPr>
    </w:p>
    <w:p>
      <w:pPr>
        <w:spacing w:beforeLines="0" w:afterLines="0"/>
        <w:rPr>
          <w:rFonts w:hint="default"/>
          <w:sz w:val="22"/>
          <w:szCs w:val="24"/>
        </w:rPr>
      </w:pPr>
    </w:p>
    <w:p>
      <w:pPr>
        <w:spacing w:beforeLines="0" w:afterLines="0"/>
        <w:rPr>
          <w:rFonts w:hint="default"/>
          <w:b/>
          <w:sz w:val="20"/>
          <w:szCs w:val="24"/>
          <w:lang w:val="pt-BR"/>
        </w:rPr>
      </w:pPr>
      <w:r>
        <w:rPr>
          <w:rFonts w:hint="default"/>
          <w:b/>
          <w:sz w:val="20"/>
          <w:szCs w:val="24"/>
        </w:rPr>
        <w:t xml:space="preserve">MUNICIPIO DE PLANALTO                     </w:t>
      </w:r>
      <w:r>
        <w:rPr>
          <w:rFonts w:hint="default"/>
          <w:b/>
          <w:sz w:val="20"/>
          <w:szCs w:val="24"/>
          <w:lang w:val="pt-BR"/>
        </w:rPr>
        <w:t>LEANDRO ALBERTO KERBER LTDA</w:t>
      </w:r>
    </w:p>
    <w:p>
      <w:pPr>
        <w:spacing w:beforeLines="0" w:afterLines="0"/>
        <w:rPr>
          <w:rFonts w:hint="default"/>
          <w:b/>
          <w:sz w:val="20"/>
          <w:szCs w:val="24"/>
          <w:lang w:val="pt-BR"/>
        </w:rPr>
      </w:pPr>
      <w:r>
        <w:rPr>
          <w:rFonts w:hint="default"/>
          <w:b/>
          <w:sz w:val="20"/>
          <w:szCs w:val="24"/>
          <w:lang w:val="pt-BR"/>
        </w:rPr>
        <w:t>Contratante                                     Contratada</w:t>
      </w:r>
    </w:p>
    <w:sectPr>
      <w:pgSz w:w="11907" w:h="16840" w:orient="landscape"/>
      <w:pgMar w:top="2835" w:right="1134" w:bottom="1814" w:left="1134" w:header="254" w:footer="254" w:gutter="0"/>
      <w:lnNumType w:countBy="0" w:distance="360"/>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1"/>
    <w:family w:val="auto"/>
    <w:pitch w:val="default"/>
    <w:sig w:usb0="E0002EFF" w:usb1="C000785B" w:usb2="00000009" w:usb3="00000000" w:csb0="400001FF" w:csb1="FFFF0000"/>
  </w:font>
  <w:font w:name="Calibri">
    <w:panose1 w:val="020F0502020204030204"/>
    <w:charset w:val="01"/>
    <w:family w:val="auto"/>
    <w:pitch w:val="default"/>
    <w:sig w:usb0="E4002EFF" w:usb1="C000247B" w:usb2="00000009" w:usb3="00000000" w:csb0="200001FF" w:csb1="00000000"/>
  </w:font>
  <w:font w:name="Tahoma">
    <w:panose1 w:val="020B0604030504040204"/>
    <w:charset w:val="01"/>
    <w:family w:val="auto"/>
    <w:pitch w:val="default"/>
    <w:sig w:usb0="E1002EFF" w:usb1="C000605B" w:usb2="00000029" w:usb3="00000000" w:csb0="200101FF" w:csb1="20280000"/>
  </w:font>
  <w:font w:name="Courier New">
    <w:panose1 w:val="02070309020205020404"/>
    <w:charset w:val="01"/>
    <w:family w:val="auto"/>
    <w:pitch w:val="default"/>
    <w:sig w:usb0="E0002EFF" w:usb1="C0007843" w:usb2="00000009" w:usb3="00000000" w:csb0="400001FF" w:csb1="FFFF0000"/>
  </w:font>
  <w:font w:name="Arial Narrow">
    <w:panose1 w:val="020B0606020202030204"/>
    <w:charset w:val="01"/>
    <w:family w:val="auto"/>
    <w:pitch w:val="default"/>
    <w:sig w:usb0="00000287" w:usb1="000008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352FA"/>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24D23F54"/>
    <w:rsid w:val="41C44C3F"/>
    <w:rsid w:val="43106796"/>
    <w:rsid w:val="59CE290C"/>
    <w:rsid w:val="5B0132BC"/>
    <w:rsid w:val="617F76F8"/>
    <w:rsid w:val="705C05BD"/>
    <w:rsid w:val="7EBA29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uiPriority="99" w:semiHidden="0" w:name="heading 3"/>
    <w:lsdException w:uiPriority="99" w:semiHidden="0" w:name="heading 4"/>
    <w:lsdException w:uiPriority="99" w:semiHidden="0" w:name="heading 5"/>
    <w:lsdException w:uiPriority="99" w:semiHidden="0" w:name="heading 6"/>
    <w:lsdException w:uiPriority="99" w:semiHidden="0" w:name="heading 7"/>
    <w:lsdException w:uiPriority="99" w:semiHidden="0" w:name="heading 8"/>
    <w:lsdException w:uiPriority="9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iPriority="99"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iPriority="99" w:semiHidden="0" w:name="Body Text Indent 2"/>
    <w:lsdException w:uiPriority="99"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iPriority="99" w:semiHidden="0" w:name="Document Map"/>
    <w:lsdException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iPriority="99" w:semiHidden="0" w:name="Balloon Text"/>
    <w:lsdException w:unhideWhenUsed="0" w:uiPriority="0" w:semiHidden="0" w:name="Table Grid"/>
    <w:lsdException w:unhideWhenUsed="0" w:uiPriority="0" w:semiHidden="0" w:name="Table Theme"/>
    <w:lsdException w:uiPriority="99" w:semiHidden="0" w:name="List Paragraph"/>
  </w:latentStyles>
  <w:style w:type="paragraph" w:default="1" w:styleId="1">
    <w:name w:val="Normal"/>
    <w:unhideWhenUsed/>
    <w:uiPriority w:val="99"/>
    <w:pPr>
      <w:widowControl w:val="0"/>
      <w:autoSpaceDE w:val="0"/>
      <w:autoSpaceDN w:val="0"/>
      <w:adjustRightInd w:val="0"/>
      <w:spacing w:beforeLines="0" w:afterLines="0"/>
    </w:pPr>
    <w:rPr>
      <w:rFonts w:hint="default" w:ascii="Times New Roman" w:hAnsi="Times New Roman" w:eastAsia="Times New Roman"/>
      <w:sz w:val="22"/>
      <w:szCs w:val="24"/>
    </w:rPr>
  </w:style>
  <w:style w:type="paragraph" w:styleId="2">
    <w:name w:val="heading 1"/>
    <w:unhideWhenUsed/>
    <w:uiPriority w:val="99"/>
    <w:pPr>
      <w:widowControl w:val="0"/>
      <w:autoSpaceDE w:val="0"/>
      <w:autoSpaceDN w:val="0"/>
      <w:adjustRightInd w:val="0"/>
      <w:spacing w:beforeLines="0" w:afterLines="0"/>
    </w:pPr>
    <w:rPr>
      <w:rFonts w:hint="default"/>
      <w:sz w:val="28"/>
      <w:szCs w:val="24"/>
    </w:rPr>
  </w:style>
  <w:style w:type="paragraph" w:styleId="3">
    <w:name w:val="heading 2"/>
    <w:unhideWhenUsed/>
    <w:uiPriority w:val="99"/>
    <w:pPr>
      <w:widowControl w:val="0"/>
      <w:autoSpaceDE w:val="0"/>
      <w:autoSpaceDN w:val="0"/>
      <w:adjustRightInd w:val="0"/>
      <w:spacing w:beforeLines="0" w:afterLines="0"/>
    </w:pPr>
    <w:rPr>
      <w:rFonts w:hint="default"/>
      <w:b/>
      <w:sz w:val="24"/>
      <w:szCs w:val="24"/>
    </w:rPr>
  </w:style>
  <w:style w:type="paragraph" w:styleId="4">
    <w:name w:val="heading 3"/>
    <w:unhideWhenUsed/>
    <w:uiPriority w:val="99"/>
    <w:pPr>
      <w:widowControl w:val="0"/>
      <w:autoSpaceDE w:val="0"/>
      <w:autoSpaceDN w:val="0"/>
      <w:adjustRightInd w:val="0"/>
      <w:spacing w:beforeLines="0" w:afterLines="0"/>
      <w:jc w:val="both"/>
    </w:pPr>
    <w:rPr>
      <w:rFonts w:hint="default"/>
      <w:sz w:val="24"/>
      <w:szCs w:val="24"/>
    </w:rPr>
  </w:style>
  <w:style w:type="paragraph" w:styleId="5">
    <w:name w:val="heading 4"/>
    <w:unhideWhenUsed/>
    <w:uiPriority w:val="99"/>
    <w:pPr>
      <w:widowControl w:val="0"/>
      <w:autoSpaceDE w:val="0"/>
      <w:autoSpaceDN w:val="0"/>
      <w:adjustRightInd w:val="0"/>
      <w:spacing w:beforeLines="0" w:afterLines="0"/>
    </w:pPr>
    <w:rPr>
      <w:rFonts w:hint="default"/>
      <w:sz w:val="24"/>
      <w:szCs w:val="24"/>
    </w:rPr>
  </w:style>
  <w:style w:type="paragraph" w:styleId="6">
    <w:name w:val="heading 5"/>
    <w:unhideWhenUsed/>
    <w:uiPriority w:val="99"/>
    <w:pPr>
      <w:widowControl w:val="0"/>
      <w:autoSpaceDE w:val="0"/>
      <w:autoSpaceDN w:val="0"/>
      <w:adjustRightInd w:val="0"/>
      <w:spacing w:beforeLines="0" w:afterLines="0"/>
      <w:ind w:left="2832" w:firstLine="708"/>
    </w:pPr>
    <w:rPr>
      <w:rFonts w:hint="default"/>
      <w:b/>
      <w:sz w:val="28"/>
      <w:szCs w:val="24"/>
    </w:rPr>
  </w:style>
  <w:style w:type="paragraph" w:styleId="7">
    <w:name w:val="heading 6"/>
    <w:unhideWhenUsed/>
    <w:uiPriority w:val="99"/>
    <w:pPr>
      <w:widowControl w:val="0"/>
      <w:autoSpaceDE w:val="0"/>
      <w:autoSpaceDN w:val="0"/>
      <w:adjustRightInd w:val="0"/>
      <w:spacing w:beforeLines="0" w:afterLines="0"/>
      <w:jc w:val="center"/>
    </w:pPr>
    <w:rPr>
      <w:rFonts w:hint="default"/>
      <w:b/>
      <w:sz w:val="24"/>
      <w:szCs w:val="24"/>
    </w:rPr>
  </w:style>
  <w:style w:type="paragraph" w:styleId="8">
    <w:name w:val="heading 7"/>
    <w:unhideWhenUsed/>
    <w:uiPriority w:val="99"/>
    <w:pPr>
      <w:widowControl w:val="0"/>
      <w:autoSpaceDE w:val="0"/>
      <w:autoSpaceDN w:val="0"/>
      <w:adjustRightInd w:val="0"/>
      <w:spacing w:beforeLines="0" w:afterLines="0"/>
      <w:jc w:val="center"/>
    </w:pPr>
    <w:rPr>
      <w:rFonts w:hint="default" w:ascii="Arial" w:hAnsi="Arial"/>
      <w:sz w:val="24"/>
      <w:szCs w:val="24"/>
    </w:rPr>
  </w:style>
  <w:style w:type="paragraph" w:styleId="9">
    <w:name w:val="heading 8"/>
    <w:unhideWhenUsed/>
    <w:uiPriority w:val="99"/>
    <w:pPr>
      <w:widowControl w:val="0"/>
      <w:autoSpaceDE w:val="0"/>
      <w:autoSpaceDN w:val="0"/>
      <w:adjustRightInd w:val="0"/>
      <w:spacing w:beforeLines="0" w:afterLines="0"/>
      <w:jc w:val="center"/>
    </w:pPr>
    <w:rPr>
      <w:rFonts w:hint="default" w:ascii="Calibri" w:hAnsi="Calibri" w:eastAsia="Calibri"/>
      <w:i/>
      <w:sz w:val="24"/>
      <w:szCs w:val="24"/>
    </w:rPr>
  </w:style>
  <w:style w:type="paragraph" w:styleId="10">
    <w:name w:val="heading 9"/>
    <w:unhideWhenUsed/>
    <w:uiPriority w:val="99"/>
    <w:pPr>
      <w:widowControl w:val="0"/>
      <w:autoSpaceDE w:val="0"/>
      <w:autoSpaceDN w:val="0"/>
      <w:adjustRightInd w:val="0"/>
      <w:spacing w:beforeLines="0" w:afterLines="0"/>
      <w:ind w:right="-568"/>
      <w:jc w:val="both"/>
    </w:pPr>
    <w:rPr>
      <w:rFonts w:hint="default" w:ascii="Arial" w:hAnsi="Arial"/>
      <w:b/>
      <w:sz w:val="24"/>
      <w:szCs w:val="24"/>
    </w:rPr>
  </w:style>
  <w:style w:type="character" w:default="1" w:styleId="11">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character" w:styleId="13">
    <w:name w:val="Hyperlink"/>
    <w:unhideWhenUsed/>
    <w:uiPriority w:val="99"/>
    <w:rPr>
      <w:rFonts w:hAnsi="Times New Roman" w:eastAsia="Times New Roman"/>
      <w:shd w:val="clear"/>
    </w:rPr>
  </w:style>
  <w:style w:type="paragraph" w:styleId="14">
    <w:name w:val="Body Text"/>
    <w:unhideWhenUsed/>
    <w:uiPriority w:val="99"/>
    <w:pPr>
      <w:widowControl w:val="0"/>
      <w:autoSpaceDE w:val="0"/>
      <w:autoSpaceDN w:val="0"/>
      <w:adjustRightInd w:val="0"/>
      <w:spacing w:beforeLines="0" w:afterLines="0"/>
    </w:pPr>
    <w:rPr>
      <w:rFonts w:hint="default" w:ascii="Times New Roman" w:hAnsi="Times New Roman" w:eastAsia="Times New Roman"/>
      <w:b/>
      <w:sz w:val="20"/>
      <w:szCs w:val="24"/>
    </w:rPr>
  </w:style>
  <w:style w:type="paragraph" w:styleId="15">
    <w:name w:val="Body Text Indent 2"/>
    <w:unhideWhenUsed/>
    <w:uiPriority w:val="99"/>
    <w:pPr>
      <w:widowControl w:val="0"/>
      <w:autoSpaceDE w:val="0"/>
      <w:autoSpaceDN w:val="0"/>
      <w:adjustRightInd w:val="0"/>
      <w:spacing w:beforeLines="0" w:after="120" w:afterLines="0" w:line="480" w:lineRule="auto"/>
      <w:ind w:left="283"/>
    </w:pPr>
    <w:rPr>
      <w:rFonts w:hint="default" w:ascii="Arial Narrow" w:hAnsi="Arial Narrow" w:eastAsia="Arial Narrow"/>
      <w:sz w:val="24"/>
      <w:szCs w:val="24"/>
    </w:rPr>
  </w:style>
  <w:style w:type="paragraph" w:styleId="16">
    <w:name w:val="Plain Text"/>
    <w:unhideWhenUsed/>
    <w:uiPriority w:val="99"/>
    <w:pPr>
      <w:widowControl w:val="0"/>
      <w:autoSpaceDE w:val="0"/>
      <w:autoSpaceDN w:val="0"/>
      <w:adjustRightInd w:val="0"/>
      <w:spacing w:beforeLines="0" w:afterLines="0"/>
    </w:pPr>
    <w:rPr>
      <w:rFonts w:hint="default" w:ascii="Courier New" w:hAnsi="Courier New"/>
      <w:sz w:val="20"/>
      <w:szCs w:val="24"/>
    </w:rPr>
  </w:style>
  <w:style w:type="paragraph" w:styleId="17">
    <w:name w:val="header"/>
    <w:unhideWhenUsed/>
    <w:uiPriority w:val="99"/>
    <w:pPr>
      <w:widowControl w:val="0"/>
      <w:autoSpaceDE w:val="0"/>
      <w:autoSpaceDN w:val="0"/>
      <w:adjustRightInd w:val="0"/>
      <w:spacing w:beforeLines="0" w:afterLines="0"/>
    </w:pPr>
    <w:rPr>
      <w:rFonts w:hint="default" w:ascii="Arial Narrow" w:hAnsi="Arial Narrow" w:eastAsia="Arial Narrow"/>
      <w:sz w:val="24"/>
      <w:szCs w:val="24"/>
    </w:rPr>
  </w:style>
  <w:style w:type="paragraph" w:styleId="18">
    <w:name w:val="Document Map"/>
    <w:unhideWhenUsed/>
    <w:uiPriority w:val="99"/>
    <w:pPr>
      <w:widowControl w:val="0"/>
      <w:shd w:val="clear" w:color="auto" w:fill="000080"/>
      <w:autoSpaceDE w:val="0"/>
      <w:autoSpaceDN w:val="0"/>
      <w:adjustRightInd w:val="0"/>
      <w:spacing w:beforeLines="0" w:afterLines="0"/>
    </w:pPr>
    <w:rPr>
      <w:rFonts w:hint="default" w:ascii="Tahoma" w:hAnsi="Tahoma" w:eastAsia="Tahoma"/>
      <w:sz w:val="20"/>
      <w:szCs w:val="24"/>
    </w:rPr>
  </w:style>
  <w:style w:type="paragraph" w:styleId="19">
    <w:name w:val="Body Text Indent 3"/>
    <w:unhideWhenUsed/>
    <w:uiPriority w:val="99"/>
    <w:pPr>
      <w:widowControl w:val="0"/>
      <w:autoSpaceDE w:val="0"/>
      <w:autoSpaceDN w:val="0"/>
      <w:adjustRightInd w:val="0"/>
      <w:spacing w:beforeLines="0" w:afterLines="0"/>
      <w:ind w:firstLine="1680"/>
      <w:jc w:val="both"/>
    </w:pPr>
    <w:rPr>
      <w:rFonts w:hint="default" w:ascii="Arial" w:hAnsi="Arial"/>
      <w:b/>
      <w:sz w:val="24"/>
      <w:szCs w:val="24"/>
    </w:rPr>
  </w:style>
  <w:style w:type="paragraph" w:styleId="20">
    <w:name w:val="Balloon Text"/>
    <w:unhideWhenUsed/>
    <w:uiPriority w:val="99"/>
    <w:pPr>
      <w:widowControl w:val="0"/>
      <w:autoSpaceDE w:val="0"/>
      <w:autoSpaceDN w:val="0"/>
      <w:adjustRightInd w:val="0"/>
      <w:spacing w:beforeLines="0" w:afterLines="0"/>
    </w:pPr>
    <w:rPr>
      <w:rFonts w:hint="default" w:ascii="Tahoma" w:hAnsi="Tahoma" w:eastAsia="Tahoma"/>
      <w:sz w:val="16"/>
      <w:szCs w:val="24"/>
    </w:rPr>
  </w:style>
  <w:style w:type="paragraph" w:styleId="21">
    <w:name w:val="Body Text Indent"/>
    <w:unhideWhenUsed/>
    <w:uiPriority w:val="99"/>
    <w:pPr>
      <w:widowControl w:val="0"/>
      <w:autoSpaceDE w:val="0"/>
      <w:autoSpaceDN w:val="0"/>
      <w:adjustRightInd w:val="0"/>
      <w:spacing w:beforeLines="0" w:afterLines="0"/>
      <w:ind w:left="4962"/>
    </w:pPr>
    <w:rPr>
      <w:rFonts w:hint="default"/>
      <w:b/>
      <w:sz w:val="24"/>
      <w:szCs w:val="24"/>
    </w:rPr>
  </w:style>
  <w:style w:type="paragraph" w:styleId="22">
    <w:name w:val="List Paragraph"/>
    <w:unhideWhenUsed/>
    <w:uiPriority w:val="99"/>
    <w:pPr>
      <w:widowControl w:val="0"/>
      <w:autoSpaceDE w:val="0"/>
      <w:autoSpaceDN w:val="0"/>
      <w:adjustRightInd w:val="0"/>
      <w:spacing w:beforeLines="0" w:after="200" w:afterLines="0" w:line="276" w:lineRule="auto"/>
      <w:ind w:left="720"/>
    </w:pPr>
    <w:rPr>
      <w:rFonts w:hint="default" w:ascii="Calibri" w:hAnsi="Calibri" w:eastAsia="Calibri"/>
      <w:sz w:val="22"/>
      <w:szCs w:val="24"/>
    </w:rPr>
  </w:style>
  <w:style w:type="paragraph" w:customStyle="1" w:styleId="23">
    <w:name w:val="Texto padrão"/>
    <w:unhideWhenUsed/>
    <w:uiPriority w:val="99"/>
    <w:pPr>
      <w:widowControl w:val="0"/>
      <w:autoSpaceDE w:val="0"/>
      <w:autoSpaceDN w:val="0"/>
      <w:adjustRightInd w:val="0"/>
      <w:spacing w:beforeLines="0" w:afterLines="0"/>
    </w:pPr>
    <w:rPr>
      <w:rFonts w:hint="default" w:ascii="Arial" w:hAnsi="Arial"/>
      <w:sz w:val="24"/>
      <w:szCs w:val="24"/>
    </w:rPr>
  </w:style>
  <w:style w:type="paragraph" w:customStyle="1" w:styleId="24">
    <w:name w:val="WW-Corpo de texto 3"/>
    <w:unhideWhenUsed/>
    <w:uiPriority w:val="99"/>
    <w:pPr>
      <w:widowControl w:val="0"/>
      <w:autoSpaceDE w:val="0"/>
      <w:autoSpaceDN w:val="0"/>
      <w:adjustRightInd w:val="0"/>
      <w:spacing w:beforeLines="0" w:afterLines="0"/>
      <w:jc w:val="both"/>
    </w:pPr>
    <w:rPr>
      <w:rFonts w:hint="default" w:ascii="Courier New" w:hAnsi="Courier New"/>
      <w:color w:val="000000"/>
      <w:sz w:val="24"/>
      <w:szCs w:val="24"/>
    </w:rPr>
  </w:style>
  <w:style w:type="paragraph" w:customStyle="1" w:styleId="25">
    <w:name w:val="Título 6 Char"/>
    <w:basedOn w:val="11"/>
    <w:unhideWhenUsed/>
    <w:uiPriority w:val="99"/>
    <w:pPr>
      <w:spacing w:beforeLines="0" w:afterLines="0"/>
    </w:pPr>
    <w:rPr>
      <w:rFonts w:hint="default"/>
      <w:b/>
      <w:sz w:val="22"/>
      <w:szCs w:val="24"/>
    </w:rPr>
  </w:style>
  <w:style w:type="paragraph" w:customStyle="1" w:styleId="26">
    <w:name w:val="Título 7 Char"/>
    <w:basedOn w:val="11"/>
    <w:unhideWhenUsed/>
    <w:uiPriority w:val="99"/>
    <w:pPr>
      <w:spacing w:beforeLines="0" w:afterLines="0"/>
    </w:pPr>
    <w:rPr>
      <w:rFonts w:hint="default"/>
      <w:sz w:val="24"/>
      <w:szCs w:val="24"/>
    </w:rPr>
  </w:style>
  <w:style w:type="paragraph" w:customStyle="1" w:styleId="27">
    <w:name w:val="Título 8 Char"/>
    <w:basedOn w:val="11"/>
    <w:unhideWhenUsed/>
    <w:uiPriority w:val="99"/>
    <w:pPr>
      <w:spacing w:beforeLines="0" w:afterLines="0"/>
    </w:pPr>
    <w:rPr>
      <w:rFonts w:hint="default"/>
      <w:i/>
      <w:sz w:val="24"/>
      <w:szCs w:val="24"/>
    </w:rPr>
  </w:style>
  <w:style w:type="paragraph" w:customStyle="1" w:styleId="28">
    <w:name w:val="Texto sem Formatação Char"/>
    <w:unhideWhenUsed/>
    <w:uiPriority w:val="99"/>
    <w:pPr>
      <w:widowControl w:val="0"/>
      <w:autoSpaceDE w:val="0"/>
      <w:autoSpaceDN w:val="0"/>
      <w:adjustRightInd w:val="0"/>
      <w:spacing w:beforeLines="0" w:afterLines="0"/>
    </w:pPr>
    <w:rPr>
      <w:rFonts w:hint="default" w:ascii="Courier New" w:hAnsi="Courier New"/>
      <w:sz w:val="22"/>
      <w:szCs w:val="24"/>
    </w:rPr>
  </w:style>
  <w:style w:type="paragraph" w:customStyle="1" w:styleId="29">
    <w:name w:val="Default"/>
    <w:unhideWhenUsed/>
    <w:uiPriority w:val="99"/>
    <w:pPr>
      <w:widowControl w:val="0"/>
      <w:autoSpaceDE w:val="0"/>
      <w:autoSpaceDN w:val="0"/>
      <w:adjustRightInd w:val="0"/>
      <w:spacing w:beforeLines="0" w:afterLines="0"/>
    </w:pPr>
    <w:rPr>
      <w:rFonts w:hint="default" w:ascii="Arial" w:hAnsi="Arial"/>
      <w:color w:val="000000"/>
      <w:sz w:val="24"/>
      <w:szCs w:val="24"/>
    </w:rPr>
  </w:style>
  <w:style w:type="paragraph" w:customStyle="1" w:styleId="30">
    <w:name w:val="Table Paragraph"/>
    <w:unhideWhenUsed/>
    <w:uiPriority w:val="99"/>
    <w:pPr>
      <w:widowControl w:val="0"/>
      <w:autoSpaceDE w:val="0"/>
      <w:autoSpaceDN w:val="0"/>
      <w:adjustRightInd w:val="0"/>
      <w:spacing w:beforeLines="0" w:afterLines="0"/>
    </w:pPr>
    <w:rPr>
      <w:rFonts w:hint="default" w:ascii="Times New Roman" w:hAnsi="Times New Roman" w:eastAsia="Times New Roman"/>
      <w:sz w:val="22"/>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google1580733038</cp:lastModifiedBy>
  <dcterms:modified xsi:type="dcterms:W3CDTF">2022-02-09T17:21:35Z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1046-11.2.0.10463</vt:lpwstr>
  </property>
  <property fmtid="{D5CDD505-2E9C-101B-9397-08002B2CF9AE}" pid="3" name="ICV">
    <vt:lpwstr>EFE7CEE73D9D4BC3A5F4EDA4B6628B5F</vt:lpwstr>
  </property>
</Properties>
</file>