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Lines="0" w:afterLines="0"/>
        <w:jc w:val="both"/>
        <w:rPr>
          <w:rFonts w:hint="default" w:ascii="Times New Roman" w:hAnsi="Times New Roman" w:cs="Times New Roman"/>
          <w:sz w:val="24"/>
          <w:szCs w:val="24"/>
        </w:rPr>
      </w:pPr>
    </w:p>
    <w:p>
      <w:pPr>
        <w:spacing w:beforeLines="0" w:afterLines="0"/>
        <w:jc w:val="center"/>
        <w:rPr>
          <w:rFonts w:hint="default" w:ascii="Times New Roman" w:hAnsi="Times New Roman" w:cs="Times New Roman"/>
          <w:b/>
          <w:sz w:val="24"/>
          <w:szCs w:val="24"/>
        </w:rPr>
      </w:pPr>
      <w:r>
        <w:rPr>
          <w:rFonts w:hint="default" w:ascii="Times New Roman" w:hAnsi="Times New Roman" w:cs="Times New Roman"/>
          <w:b/>
          <w:sz w:val="24"/>
          <w:szCs w:val="24"/>
        </w:rPr>
        <w:t xml:space="preserve">ATA DE REGISTRO DE PREÇO N° </w:t>
      </w:r>
      <w:r>
        <w:rPr>
          <w:rFonts w:hint="default" w:ascii="Times New Roman" w:hAnsi="Times New Roman" w:cs="Times New Roman"/>
          <w:b/>
          <w:sz w:val="24"/>
          <w:szCs w:val="24"/>
          <w:lang w:val="pt-BR"/>
        </w:rPr>
        <w:t>08</w:t>
      </w:r>
      <w:r>
        <w:rPr>
          <w:rFonts w:hint="default" w:ascii="Times New Roman" w:hAnsi="Times New Roman" w:cs="Times New Roman"/>
          <w:b/>
          <w:sz w:val="24"/>
          <w:szCs w:val="24"/>
        </w:rPr>
        <w:t>/2022</w:t>
      </w:r>
    </w:p>
    <w:p>
      <w:pPr>
        <w:spacing w:beforeLines="0" w:afterLines="0"/>
        <w:jc w:val="center"/>
        <w:rPr>
          <w:rFonts w:hint="default" w:ascii="Times New Roman" w:hAnsi="Times New Roman" w:cs="Times New Roman"/>
          <w:b/>
          <w:sz w:val="24"/>
          <w:szCs w:val="24"/>
        </w:rPr>
      </w:pPr>
      <w:r>
        <w:rPr>
          <w:rFonts w:hint="default" w:ascii="Times New Roman" w:hAnsi="Times New Roman" w:cs="Times New Roman"/>
          <w:b/>
          <w:sz w:val="24"/>
          <w:szCs w:val="24"/>
        </w:rPr>
        <w:t>PROCESSO LICITATÓRIO Nº 06/2022</w:t>
      </w:r>
    </w:p>
    <w:p>
      <w:pPr>
        <w:spacing w:beforeLines="0" w:afterLines="0"/>
        <w:jc w:val="center"/>
        <w:rPr>
          <w:rFonts w:hint="default" w:ascii="Times New Roman" w:hAnsi="Times New Roman" w:cs="Times New Roman"/>
          <w:b/>
          <w:sz w:val="24"/>
          <w:szCs w:val="24"/>
        </w:rPr>
      </w:pPr>
      <w:r>
        <w:rPr>
          <w:rFonts w:hint="default" w:ascii="Times New Roman" w:hAnsi="Times New Roman" w:cs="Times New Roman"/>
          <w:b/>
          <w:sz w:val="24"/>
          <w:szCs w:val="24"/>
        </w:rPr>
        <w:t>PREGÃO PRESENCIAL REGISTRO DE PREÇO N° 03/2022</w:t>
      </w:r>
    </w:p>
    <w:p>
      <w:pPr>
        <w:spacing w:beforeLines="0" w:afterLines="0"/>
        <w:jc w:val="center"/>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 xml:space="preserve">Aos xx dias do mês de xxxx do ano de dois mil e vinte e dois, o MUNICÍPIO DE PLANALTO/RS, pessoa jurídica de direto público interno, inscrito no CNPJ sob nº 87.612.891/0001-15, com sede administrativa na Rua Humberto de Campos, nº 732, Centro, na cidade de Planalto, Estado do Rio Grande do Sul, CEP 98.470-000, neste ato representado por seu Prefeito Municipal Sr. CRISTIANO GNOATTO, brasileiro, inscrito no CPF sob nº 636.783.570-91 e portador da cédula de identidade nº 6064114777, residente e domiciliado na Rua D. Pedro II, n° 1051, nesta cidade de Planalto/RS, doravante denominado simplesmente ÓRGÃO GERENCIADOR, resolve registrar o preço oferecido pela empresa </w:t>
      </w:r>
      <w:r>
        <w:rPr>
          <w:rFonts w:hint="default" w:ascii="Times New Roman" w:hAnsi="Times New Roman" w:cs="Times New Roman"/>
          <w:sz w:val="24"/>
          <w:szCs w:val="24"/>
          <w:lang w:val="pt-BR"/>
        </w:rPr>
        <w:t xml:space="preserve">ROBERTO DE CONTO &amp; CIA LTDA, </w:t>
      </w:r>
      <w:r>
        <w:rPr>
          <w:rFonts w:hint="default" w:ascii="Times New Roman" w:hAnsi="Times New Roman" w:cs="Times New Roman"/>
          <w:sz w:val="24"/>
          <w:szCs w:val="24"/>
        </w:rPr>
        <w:t xml:space="preserve">pessoa jurídica de direito privado, estabelecida na Rua </w:t>
      </w:r>
      <w:r>
        <w:rPr>
          <w:rFonts w:hint="default" w:ascii="Times New Roman" w:hAnsi="Times New Roman" w:cs="Times New Roman"/>
          <w:sz w:val="24"/>
          <w:szCs w:val="24"/>
          <w:lang w:val="pt-BR"/>
        </w:rPr>
        <w:t>Dr Falcon, 62,</w:t>
      </w:r>
      <w:r>
        <w:rPr>
          <w:rFonts w:hint="default" w:ascii="Times New Roman" w:hAnsi="Times New Roman" w:cs="Times New Roman"/>
          <w:sz w:val="24"/>
          <w:szCs w:val="24"/>
        </w:rPr>
        <w:t xml:space="preserve"> na cidade de </w:t>
      </w:r>
      <w:r>
        <w:rPr>
          <w:rFonts w:hint="default" w:ascii="Times New Roman" w:hAnsi="Times New Roman" w:cs="Times New Roman"/>
          <w:sz w:val="24"/>
          <w:szCs w:val="24"/>
          <w:lang w:val="pt-BR"/>
        </w:rPr>
        <w:t>Aratiba,</w:t>
      </w:r>
      <w:r>
        <w:rPr>
          <w:rFonts w:hint="default" w:ascii="Times New Roman" w:hAnsi="Times New Roman" w:cs="Times New Roman"/>
          <w:sz w:val="24"/>
          <w:szCs w:val="24"/>
        </w:rPr>
        <w:t xml:space="preserve"> Estado d</w:t>
      </w:r>
      <w:r>
        <w:rPr>
          <w:rFonts w:hint="default" w:ascii="Times New Roman" w:hAnsi="Times New Roman" w:cs="Times New Roman"/>
          <w:sz w:val="24"/>
          <w:szCs w:val="24"/>
          <w:lang w:val="pt-BR"/>
        </w:rPr>
        <w:t>o Rio Grande do Sul</w:t>
      </w:r>
      <w:r>
        <w:rPr>
          <w:rFonts w:hint="default" w:ascii="Times New Roman" w:hAnsi="Times New Roman" w:cs="Times New Roman"/>
          <w:sz w:val="24"/>
          <w:szCs w:val="24"/>
        </w:rPr>
        <w:t xml:space="preserve">, inscrita no CNPJ sob n° </w:t>
      </w:r>
      <w:r>
        <w:rPr>
          <w:rFonts w:hint="default" w:ascii="Times New Roman" w:hAnsi="Times New Roman" w:cs="Times New Roman"/>
          <w:sz w:val="24"/>
          <w:szCs w:val="24"/>
          <w:lang w:val="pt-BR"/>
        </w:rPr>
        <w:t>18.449.927/0001-79</w:t>
      </w:r>
      <w:r>
        <w:rPr>
          <w:rFonts w:hint="default" w:ascii="Times New Roman" w:hAnsi="Times New Roman" w:cs="Times New Roman"/>
          <w:sz w:val="24"/>
          <w:szCs w:val="24"/>
        </w:rPr>
        <w:t>, neste ato representada pelo (a) Sr. (a)</w:t>
      </w:r>
      <w:r>
        <w:rPr>
          <w:rFonts w:hint="default" w:ascii="Times New Roman" w:hAnsi="Times New Roman" w:cs="Times New Roman"/>
          <w:sz w:val="24"/>
          <w:szCs w:val="24"/>
          <w:lang w:val="pt-BR"/>
        </w:rPr>
        <w:t xml:space="preserve"> Roberto Carlos de Conto</w:t>
      </w:r>
      <w:r>
        <w:rPr>
          <w:rFonts w:hint="default" w:ascii="Times New Roman" w:hAnsi="Times New Roman" w:cs="Times New Roman"/>
          <w:sz w:val="24"/>
          <w:szCs w:val="24"/>
        </w:rPr>
        <w:t xml:space="preserve">, inscrita no CPF/MF sob n° </w:t>
      </w:r>
      <w:r>
        <w:rPr>
          <w:rFonts w:hint="default" w:ascii="Times New Roman" w:hAnsi="Times New Roman" w:cs="Times New Roman"/>
          <w:sz w:val="24"/>
          <w:szCs w:val="24"/>
          <w:lang w:val="pt-BR"/>
        </w:rPr>
        <w:t>549.223.720-91</w:t>
      </w:r>
      <w:r>
        <w:rPr>
          <w:rFonts w:hint="default" w:ascii="Times New Roman" w:hAnsi="Times New Roman" w:cs="Times New Roman"/>
          <w:sz w:val="24"/>
          <w:szCs w:val="24"/>
        </w:rPr>
        <w:t xml:space="preserve"> e portador da cédula de identidade n° </w:t>
      </w:r>
      <w:r>
        <w:rPr>
          <w:rFonts w:hint="default" w:ascii="Times New Roman" w:hAnsi="Times New Roman" w:cs="Times New Roman"/>
          <w:sz w:val="24"/>
          <w:szCs w:val="24"/>
          <w:lang w:val="pt-BR"/>
        </w:rPr>
        <w:t>1028911582</w:t>
      </w:r>
      <w:r>
        <w:rPr>
          <w:rFonts w:hint="default" w:ascii="Times New Roman" w:hAnsi="Times New Roman" w:cs="Times New Roman"/>
          <w:sz w:val="24"/>
          <w:szCs w:val="24"/>
        </w:rPr>
        <w:t>, denominado simplesmente FORNECEDOR REGISTRADO.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Este instrumento guarda inteira conformidade com os termos do Pregão Presencial para Registro de Preços 03/2022 e seus Anexos, do qual é parte integrante e complementar, regendo-se o mesmo pela Lei Federal n.º 8.666, de 21 de junho de 1993, lei nº 10.520/02 e pela legislação pertinente, pelos termos da proposta e pelas cláusulas a seguir expressas.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PRIMEIRA - DO OBJETO E PREÇO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1.1 Este termo tem por objeto o Registro de Preços para a AQUISIÇÃO DE CAMINHAS EMPILHÁVEIS, CARRINHOS DE PASSEIO PARA BEBÊ, COLCHONETES E MESA COM CINCO LUGARES PARA ALIMENTAÇÃO, visando à estruturação das atividades desenvolvidas junto aos Centros de Educação Infantil/Creches do Município de Planalto/RS, na quantidade estimada abaixo.</w:t>
      </w:r>
    </w:p>
    <w:tbl>
      <w:tblPr>
        <w:tblStyle w:val="12"/>
        <w:tblW w:w="96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28"/>
        <w:gridCol w:w="1107"/>
        <w:gridCol w:w="601"/>
        <w:gridCol w:w="4616"/>
        <w:gridCol w:w="5"/>
        <w:gridCol w:w="1392"/>
        <w:gridCol w:w="3"/>
        <w:gridCol w:w="1334"/>
        <w:gridCol w:w="14"/>
        <w:gridCol w:w="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2"/>
          <w:wAfter w:w="15" w:type="dxa"/>
        </w:trPr>
        <w:tc>
          <w:tcPr>
            <w:tcW w:w="9586" w:type="dxa"/>
            <w:gridSpan w:val="8"/>
            <w:tcBorders>
              <w:top w:val="single" w:color="auto" w:sz="4" w:space="0"/>
              <w:left w:val="single" w:color="auto" w:sz="4" w:space="0"/>
              <w:bottom w:val="nil"/>
              <w:right w:val="single" w:color="auto" w:sz="4" w:space="0"/>
              <w:tl2br w:val="nil"/>
              <w:tr2bl w:val="nil"/>
            </w:tcBorders>
            <w:noWrap w:val="0"/>
            <w:vAlign w:val="top"/>
          </w:tcPr>
          <w:p>
            <w:pPr>
              <w:spacing w:beforeLines="0" w:afterLines="0"/>
              <w:jc w:val="left"/>
              <w:rPr>
                <w:rFonts w:hint="default" w:ascii="Times New Roman" w:hAnsi="Times New Roman" w:eastAsia="Times New Roman"/>
                <w:b/>
                <w:sz w:val="24"/>
                <w:szCs w:val="24"/>
              </w:rPr>
            </w:pPr>
            <w:r>
              <w:rPr>
                <w:rFonts w:hint="default" w:ascii="Times New Roman" w:hAnsi="Times New Roman" w:eastAsia="Times New Roman"/>
                <w:b/>
                <w:sz w:val="24"/>
                <w:szCs w:val="24"/>
              </w:rPr>
              <w:t xml:space="preserve">Empresa: </w:t>
            </w:r>
            <w:r>
              <w:rPr>
                <w:rFonts w:hint="default" w:ascii="Times New Roman" w:hAnsi="Times New Roman" w:eastAsia="Times New Roman"/>
                <w:b/>
                <w:sz w:val="24"/>
                <w:szCs w:val="24"/>
              </w:rPr>
              <w:fldChar w:fldCharType="begin"/>
            </w:r>
            <w:r>
              <w:rPr>
                <w:rFonts w:hint="default" w:ascii="Times New Roman" w:hAnsi="Times New Roman" w:eastAsia="Times New Roman"/>
                <w:b/>
                <w:sz w:val="24"/>
                <w:szCs w:val="24"/>
              </w:rPr>
              <w:instrText xml:space="preserve">MERGEFIELD EMPRESAS_COM_ITENS_VENCEDORES.NOME_PES</w:instrText>
            </w:r>
            <w:r>
              <w:rPr>
                <w:rFonts w:hint="default" w:ascii="Times New Roman" w:hAnsi="Times New Roman" w:eastAsia="Times New Roman"/>
                <w:b/>
                <w:sz w:val="24"/>
                <w:szCs w:val="24"/>
              </w:rPr>
              <w:fldChar w:fldCharType="separate"/>
            </w:r>
            <w:r>
              <w:rPr>
                <w:rFonts w:hint="default" w:ascii="Times New Roman" w:hAnsi="Times New Roman" w:eastAsia="Times New Roman"/>
                <w:b/>
                <w:sz w:val="24"/>
                <w:szCs w:val="24"/>
              </w:rPr>
              <w:t>ROBERTO DE CONTO E CIA LTDA ME</w:t>
            </w:r>
            <w:r>
              <w:rPr>
                <w:rFonts w:hint="default" w:ascii="Times New Roman" w:hAnsi="Times New Roman" w:eastAsia="Times New Roman"/>
                <w:b/>
                <w:sz w:val="24"/>
                <w:szCs w:val="24"/>
              </w:rPr>
              <w:fldChar w:fldCharType="end"/>
            </w:r>
            <w:r>
              <w:rPr>
                <w:rFonts w:hint="default" w:ascii="Times New Roman" w:hAnsi="Times New Roman" w:eastAsia="Times New Roman"/>
                <w:b/>
                <w:sz w:val="24"/>
                <w:szCs w:val="24"/>
              </w:rPr>
              <w:t xml:space="preserve"> - </w:t>
            </w:r>
            <w:r>
              <w:rPr>
                <w:rFonts w:hint="default" w:ascii="Times New Roman" w:hAnsi="Times New Roman" w:eastAsia="Times New Roman"/>
                <w:b/>
                <w:sz w:val="24"/>
                <w:szCs w:val="24"/>
              </w:rPr>
              <w:fldChar w:fldCharType="begin"/>
            </w:r>
            <w:r>
              <w:rPr>
                <w:rFonts w:hint="default" w:ascii="Times New Roman" w:hAnsi="Times New Roman" w:eastAsia="Times New Roman"/>
                <w:b/>
                <w:sz w:val="24"/>
                <w:szCs w:val="24"/>
              </w:rPr>
              <w:instrText xml:space="preserve">MERGEFIELD EMPRESAS_COM_ITENS_VENCEDORES.COD_PES</w:instrText>
            </w:r>
            <w:r>
              <w:rPr>
                <w:rFonts w:hint="default" w:ascii="Times New Roman" w:hAnsi="Times New Roman" w:eastAsia="Times New Roman"/>
                <w:b/>
                <w:sz w:val="24"/>
                <w:szCs w:val="24"/>
              </w:rPr>
              <w:fldChar w:fldCharType="separate"/>
            </w:r>
            <w:r>
              <w:rPr>
                <w:rFonts w:hint="default" w:ascii="Times New Roman" w:hAnsi="Times New Roman" w:eastAsia="Times New Roman"/>
                <w:b/>
                <w:sz w:val="24"/>
                <w:szCs w:val="24"/>
              </w:rPr>
              <w:t>9335</w:t>
            </w:r>
            <w:r>
              <w:rPr>
                <w:rFonts w:hint="default" w:ascii="Times New Roman" w:hAnsi="Times New Roman" w:eastAsia="Times New Roman"/>
                <w:b/>
                <w:sz w:val="24"/>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blHeader/>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4"/>
                <w:szCs w:val="24"/>
              </w:rPr>
            </w:pPr>
            <w:r>
              <w:rPr>
                <w:rFonts w:hint="default" w:ascii="Times New Roman" w:hAnsi="Times New Roman" w:eastAsia="Times New Roman"/>
                <w:b/>
                <w:sz w:val="24"/>
                <w:szCs w:val="24"/>
              </w:rPr>
              <w:t>Item</w:t>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4"/>
                <w:szCs w:val="24"/>
              </w:rPr>
            </w:pPr>
            <w:r>
              <w:rPr>
                <w:rFonts w:hint="default" w:ascii="Times New Roman" w:hAnsi="Times New Roman" w:eastAsia="Times New Roman"/>
                <w:b/>
                <w:sz w:val="24"/>
                <w:szCs w:val="24"/>
              </w:rPr>
              <w:t>Quant</w:t>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b/>
                <w:sz w:val="24"/>
                <w:szCs w:val="24"/>
              </w:rPr>
            </w:pPr>
            <w:r>
              <w:rPr>
                <w:rFonts w:hint="default" w:ascii="Times New Roman" w:hAnsi="Times New Roman" w:eastAsia="Times New Roman"/>
                <w:b/>
                <w:sz w:val="24"/>
                <w:szCs w:val="24"/>
              </w:rPr>
              <w:t>Unid.</w:t>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b/>
                <w:sz w:val="24"/>
                <w:szCs w:val="24"/>
              </w:rPr>
            </w:pPr>
            <w:r>
              <w:rPr>
                <w:rFonts w:hint="default" w:ascii="Times New Roman" w:hAnsi="Times New Roman" w:eastAsia="Times New Roman"/>
                <w:b/>
                <w:sz w:val="24"/>
                <w:szCs w:val="24"/>
              </w:rPr>
              <w:t>Produto</w:t>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4"/>
                <w:szCs w:val="24"/>
              </w:rPr>
            </w:pPr>
            <w:r>
              <w:rPr>
                <w:rFonts w:hint="default" w:ascii="Times New Roman" w:hAnsi="Times New Roman" w:eastAsia="Times New Roman"/>
                <w:b/>
                <w:sz w:val="24"/>
                <w:szCs w:val="24"/>
              </w:rPr>
              <w:t>Valor Unit.</w:t>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4"/>
                <w:szCs w:val="24"/>
              </w:rPr>
            </w:pPr>
            <w:r>
              <w:rPr>
                <w:rFonts w:hint="default" w:ascii="Times New Roman" w:hAnsi="Times New Roman" w:eastAsia="Times New Roman"/>
                <w:b/>
                <w:sz w:val="24"/>
                <w:szCs w:val="24"/>
              </w:rPr>
              <w:t>Valor Total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4"/>
                <w:szCs w:val="24"/>
              </w:rPr>
            </w:pPr>
            <w:r>
              <w:rPr>
                <w:rFonts w:hint="default" w:ascii="Times New Roman" w:hAnsi="Times New Roman" w:eastAsia="Times New Roman"/>
                <w:sz w:val="24"/>
                <w:szCs w:val="24"/>
              </w:rPr>
              <w:fldChar w:fldCharType="begin"/>
            </w:r>
            <w:r>
              <w:rPr>
                <w:rFonts w:hint="default" w:ascii="Times New Roman" w:hAnsi="Times New Roman" w:eastAsia="Times New Roman"/>
                <w:sz w:val="24"/>
                <w:szCs w:val="24"/>
              </w:rPr>
              <w:instrText xml:space="preserve">MERGEFIELD ITENS_VENCEDORES.ID_ITEM</w:instrText>
            </w:r>
            <w:r>
              <w:rPr>
                <w:rFonts w:hint="default" w:ascii="Times New Roman" w:hAnsi="Times New Roman" w:eastAsia="Times New Roman"/>
                <w:sz w:val="24"/>
                <w:szCs w:val="24"/>
              </w:rPr>
              <w:fldChar w:fldCharType="separate"/>
            </w:r>
            <w:r>
              <w:rPr>
                <w:rFonts w:hint="default" w:ascii="Times New Roman" w:hAnsi="Times New Roman" w:eastAsia="Times New Roman"/>
                <w:sz w:val="24"/>
                <w:szCs w:val="24"/>
              </w:rPr>
              <w:t>4</w:t>
            </w:r>
            <w:r>
              <w:rPr>
                <w:rFonts w:hint="default" w:ascii="Times New Roman" w:hAnsi="Times New Roman" w:eastAsia="Times New Roman"/>
                <w:sz w:val="24"/>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4"/>
                <w:szCs w:val="24"/>
              </w:rPr>
            </w:pPr>
            <w:r>
              <w:rPr>
                <w:rFonts w:hint="default" w:ascii="Times New Roman" w:hAnsi="Times New Roman" w:eastAsia="Times New Roman"/>
                <w:sz w:val="24"/>
                <w:szCs w:val="24"/>
              </w:rPr>
              <w:fldChar w:fldCharType="begin"/>
            </w:r>
            <w:r>
              <w:rPr>
                <w:rFonts w:hint="default" w:ascii="Times New Roman" w:hAnsi="Times New Roman" w:eastAsia="Times New Roman"/>
                <w:sz w:val="24"/>
                <w:szCs w:val="24"/>
              </w:rPr>
              <w:instrText xml:space="preserve">MERGEFIELD ITENS_VENCEDORES.QTDITEM_ILIC</w:instrText>
            </w:r>
            <w:r>
              <w:rPr>
                <w:rFonts w:hint="default" w:ascii="Times New Roman" w:hAnsi="Times New Roman" w:eastAsia="Times New Roman"/>
                <w:sz w:val="24"/>
                <w:szCs w:val="24"/>
              </w:rPr>
              <w:fldChar w:fldCharType="separate"/>
            </w:r>
            <w:r>
              <w:rPr>
                <w:rFonts w:hint="default" w:ascii="Times New Roman" w:hAnsi="Times New Roman" w:eastAsia="Times New Roman"/>
                <w:sz w:val="24"/>
                <w:szCs w:val="24"/>
              </w:rPr>
              <w:t>50</w:t>
            </w:r>
            <w:r>
              <w:rPr>
                <w:rFonts w:hint="default" w:ascii="Times New Roman" w:hAnsi="Times New Roman" w:eastAsia="Times New Roman"/>
                <w:sz w:val="24"/>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4"/>
                <w:szCs w:val="24"/>
              </w:rPr>
            </w:pPr>
            <w:r>
              <w:rPr>
                <w:rFonts w:hint="default" w:ascii="Times New Roman" w:hAnsi="Times New Roman" w:eastAsia="Times New Roman"/>
                <w:sz w:val="24"/>
                <w:szCs w:val="24"/>
              </w:rPr>
              <w:fldChar w:fldCharType="begin"/>
            </w:r>
            <w:r>
              <w:rPr>
                <w:rFonts w:hint="default" w:ascii="Times New Roman" w:hAnsi="Times New Roman" w:eastAsia="Times New Roman"/>
                <w:sz w:val="24"/>
                <w:szCs w:val="24"/>
              </w:rPr>
              <w:instrText xml:space="preserve">MERGEFIELD ITENS_VENCEDORES.SIGLA_UND</w:instrText>
            </w:r>
            <w:r>
              <w:rPr>
                <w:rFonts w:hint="default" w:ascii="Times New Roman" w:hAnsi="Times New Roman" w:eastAsia="Times New Roman"/>
                <w:sz w:val="24"/>
                <w:szCs w:val="24"/>
              </w:rPr>
              <w:fldChar w:fldCharType="separate"/>
            </w:r>
            <w:r>
              <w:rPr>
                <w:rFonts w:hint="default" w:ascii="Times New Roman" w:hAnsi="Times New Roman" w:eastAsia="Times New Roman"/>
                <w:sz w:val="24"/>
                <w:szCs w:val="24"/>
              </w:rPr>
              <w:t>UN</w:t>
            </w:r>
            <w:r>
              <w:rPr>
                <w:rFonts w:hint="default" w:ascii="Times New Roman" w:hAnsi="Times New Roman" w:eastAsia="Times New Roman"/>
                <w:sz w:val="24"/>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4"/>
                <w:szCs w:val="24"/>
              </w:rPr>
            </w:pPr>
            <w:r>
              <w:rPr>
                <w:rFonts w:hint="default" w:ascii="Times New Roman" w:hAnsi="Times New Roman" w:eastAsia="Times New Roman"/>
                <w:sz w:val="24"/>
                <w:szCs w:val="24"/>
              </w:rPr>
              <w:fldChar w:fldCharType="begin"/>
            </w:r>
            <w:r>
              <w:rPr>
                <w:rFonts w:hint="default" w:ascii="Times New Roman" w:hAnsi="Times New Roman" w:eastAsia="Times New Roman"/>
                <w:sz w:val="24"/>
                <w:szCs w:val="24"/>
              </w:rPr>
              <w:instrText xml:space="preserve">MERGEFIELD ITENS_VENCEDORES.DESCITEM_ILIC</w:instrText>
            </w:r>
            <w:r>
              <w:rPr>
                <w:rFonts w:hint="default" w:ascii="Times New Roman" w:hAnsi="Times New Roman" w:eastAsia="Times New Roman"/>
                <w:sz w:val="24"/>
                <w:szCs w:val="24"/>
              </w:rPr>
              <w:fldChar w:fldCharType="separate"/>
            </w:r>
            <w:r>
              <w:rPr>
                <w:rFonts w:hint="default" w:ascii="Times New Roman" w:hAnsi="Times New Roman" w:eastAsia="Times New Roman"/>
                <w:sz w:val="24"/>
                <w:szCs w:val="24"/>
              </w:rPr>
              <w:t>Colchonete de Espuma D23 - 120 cm X 60 cm X 6 cm Colchonete Espuma dobrável para crianças. 100% forrado em Napa impermeável e com tratamento anti-ácaro e antialérgico. Material Resistente Costura Reforçada com Espuma de poliuretano. Cores diversas</w:t>
            </w:r>
            <w:r>
              <w:rPr>
                <w:rFonts w:hint="default" w:ascii="Times New Roman" w:hAnsi="Times New Roman" w:eastAsia="Times New Roman"/>
                <w:sz w:val="24"/>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4"/>
                <w:szCs w:val="24"/>
              </w:rPr>
            </w:pPr>
            <w:r>
              <w:rPr>
                <w:rFonts w:hint="default" w:ascii="Times New Roman" w:hAnsi="Times New Roman" w:eastAsia="Times New Roman"/>
                <w:sz w:val="24"/>
                <w:szCs w:val="24"/>
              </w:rPr>
              <w:fldChar w:fldCharType="begin"/>
            </w:r>
            <w:r>
              <w:rPr>
                <w:rFonts w:hint="default" w:ascii="Times New Roman" w:hAnsi="Times New Roman" w:eastAsia="Times New Roman"/>
                <w:sz w:val="24"/>
                <w:szCs w:val="24"/>
              </w:rPr>
              <w:instrText xml:space="preserve">MERGEFIELD ITENS_VENCEDORES.VLRUNIT_RLIC</w:instrText>
            </w:r>
            <w:r>
              <w:rPr>
                <w:rFonts w:hint="default" w:ascii="Times New Roman" w:hAnsi="Times New Roman" w:eastAsia="Times New Roman"/>
                <w:sz w:val="24"/>
                <w:szCs w:val="24"/>
              </w:rPr>
              <w:fldChar w:fldCharType="separate"/>
            </w:r>
            <w:r>
              <w:rPr>
                <w:rFonts w:hint="default" w:ascii="Times New Roman" w:hAnsi="Times New Roman" w:eastAsia="Times New Roman"/>
                <w:sz w:val="24"/>
                <w:szCs w:val="24"/>
              </w:rPr>
              <w:t>69,90</w:t>
            </w:r>
            <w:r>
              <w:rPr>
                <w:rFonts w:hint="default" w:ascii="Times New Roman" w:hAnsi="Times New Roman" w:eastAsia="Times New Roman"/>
                <w:sz w:val="24"/>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4"/>
                <w:szCs w:val="24"/>
              </w:rPr>
            </w:pPr>
            <w:r>
              <w:rPr>
                <w:rFonts w:hint="default" w:ascii="Times New Roman" w:hAnsi="Times New Roman" w:eastAsia="Times New Roman"/>
                <w:sz w:val="24"/>
                <w:szCs w:val="24"/>
              </w:rPr>
              <w:fldChar w:fldCharType="begin"/>
            </w:r>
            <w:r>
              <w:rPr>
                <w:rFonts w:hint="default" w:ascii="Times New Roman" w:hAnsi="Times New Roman" w:eastAsia="Times New Roman"/>
                <w:sz w:val="24"/>
                <w:szCs w:val="24"/>
              </w:rPr>
              <w:instrText xml:space="preserve">MERGEFIELD ITENS_VENCEDORES.VLRTOTAL</w:instrText>
            </w:r>
            <w:r>
              <w:rPr>
                <w:rFonts w:hint="default" w:ascii="Times New Roman" w:hAnsi="Times New Roman" w:eastAsia="Times New Roman"/>
                <w:sz w:val="24"/>
                <w:szCs w:val="24"/>
              </w:rPr>
              <w:fldChar w:fldCharType="separate"/>
            </w:r>
            <w:r>
              <w:rPr>
                <w:rFonts w:hint="default" w:ascii="Times New Roman" w:hAnsi="Times New Roman" w:eastAsia="Times New Roman"/>
                <w:sz w:val="24"/>
                <w:szCs w:val="24"/>
              </w:rPr>
              <w:t>3.495,00</w:t>
            </w:r>
            <w:r>
              <w:rPr>
                <w:rFonts w:hint="default" w:ascii="Times New Roman" w:hAnsi="Times New Roman" w:eastAsia="Times New Roman"/>
                <w:sz w:val="24"/>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852" w:type="dxa"/>
            <w:gridSpan w:val="4"/>
            <w:tcBorders>
              <w:top w:val="single" w:color="auto" w:sz="4" w:space="0"/>
              <w:left w:val="single" w:color="auto" w:sz="4" w:space="0"/>
              <w:bottom w:val="single" w:color="auto" w:sz="4" w:space="0"/>
              <w:right w:val="nil"/>
              <w:tl2br w:val="nil"/>
              <w:tr2bl w:val="nil"/>
            </w:tcBorders>
            <w:noWrap w:val="0"/>
            <w:vAlign w:val="top"/>
          </w:tcPr>
          <w:p>
            <w:pPr>
              <w:spacing w:beforeLines="0" w:afterLines="0"/>
              <w:jc w:val="right"/>
              <w:rPr>
                <w:rFonts w:hint="default" w:ascii="Times New Roman" w:hAnsi="Times New Roman" w:eastAsia="Times New Roman"/>
                <w:b/>
                <w:sz w:val="24"/>
                <w:szCs w:val="24"/>
              </w:rPr>
            </w:pPr>
            <w:r>
              <w:rPr>
                <w:rFonts w:hint="default" w:ascii="Times New Roman" w:hAnsi="Times New Roman" w:eastAsia="Times New Roman"/>
                <w:b/>
                <w:sz w:val="24"/>
                <w:szCs w:val="24"/>
              </w:rPr>
              <w:t>Total dos Produtos</w:t>
            </w:r>
          </w:p>
        </w:tc>
        <w:tc>
          <w:tcPr>
            <w:tcW w:w="1400" w:type="dxa"/>
            <w:gridSpan w:val="3"/>
            <w:tcBorders>
              <w:top w:val="single" w:color="auto" w:sz="4" w:space="0"/>
              <w:left w:val="nil"/>
              <w:bottom w:val="single" w:color="auto" w:sz="4" w:space="0"/>
              <w:right w:val="single" w:color="auto" w:sz="4" w:space="0"/>
              <w:tl2br w:val="nil"/>
              <w:tr2bl w:val="nil"/>
            </w:tcBorders>
            <w:noWrap w:val="0"/>
            <w:vAlign w:val="top"/>
          </w:tcPr>
          <w:p>
            <w:pPr>
              <w:spacing w:beforeLines="0" w:afterLines="0"/>
              <w:jc w:val="left"/>
              <w:rPr>
                <w:rFonts w:hint="default"/>
                <w:sz w:val="24"/>
                <w:szCs w:val="24"/>
              </w:rPr>
            </w:pPr>
          </w:p>
        </w:tc>
        <w:tc>
          <w:tcPr>
            <w:tcW w:w="1349"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4"/>
                <w:szCs w:val="24"/>
              </w:rPr>
            </w:pPr>
            <w:r>
              <w:rPr>
                <w:rFonts w:hint="default" w:ascii="Times New Roman" w:hAnsi="Times New Roman" w:eastAsia="Times New Roman"/>
                <w:b/>
                <w:sz w:val="24"/>
                <w:szCs w:val="24"/>
              </w:rPr>
              <w:fldChar w:fldCharType="begin"/>
            </w:r>
            <w:r>
              <w:rPr>
                <w:rFonts w:hint="default" w:ascii="Times New Roman" w:hAnsi="Times New Roman" w:eastAsia="Times New Roman"/>
                <w:b/>
                <w:sz w:val="24"/>
                <w:szCs w:val="24"/>
              </w:rPr>
              <w:instrText xml:space="preserve">MERGEFIELD EMPRESAS_COM_ITENS_VENCEDORES.TOTALGERAL</w:instrText>
            </w:r>
            <w:r>
              <w:rPr>
                <w:rFonts w:hint="default" w:ascii="Times New Roman" w:hAnsi="Times New Roman" w:eastAsia="Times New Roman"/>
                <w:b/>
                <w:sz w:val="24"/>
                <w:szCs w:val="24"/>
              </w:rPr>
              <w:fldChar w:fldCharType="separate"/>
            </w:r>
            <w:r>
              <w:rPr>
                <w:rFonts w:hint="default" w:ascii="Times New Roman" w:hAnsi="Times New Roman" w:eastAsia="Times New Roman"/>
                <w:b/>
                <w:sz w:val="24"/>
                <w:szCs w:val="24"/>
              </w:rPr>
              <w:t>3.495,00</w:t>
            </w:r>
            <w:r>
              <w:rPr>
                <w:rFonts w:hint="default" w:ascii="Times New Roman" w:hAnsi="Times New Roman" w:eastAsia="Times New Roman"/>
                <w:b/>
                <w:sz w:val="24"/>
                <w:szCs w:val="24"/>
              </w:rPr>
              <w:fldChar w:fldCharType="end"/>
            </w:r>
          </w:p>
        </w:tc>
      </w:tr>
    </w:tbl>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1.2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1.3 Ao assinar este Contrato, a CONTRATADA declara que tomou pleno conhecimento da natureza e condições locais onde serão executados os serviços objeto do presente Contrato. Não será considerada pela CONTRATANTE qualquer reclamação ou reivindicação por parte da CONTRATADA fundamentada na falta de conhecimento dessas condições.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1.4 Todos os equipamentos e materiais utilizados na prestação dos serviços/fornecimento dos materiais deverão atender às exigências mínimas de qualidade, observados os padrões e normas baixadas pelos órgãos competentes de controle de qualidade Industrial atentando-se a contratada, principalmente, para as prescrições contidas no art. 39, VIII, da Lei 8.078/90 (Código de Defesa do Consumidor).</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SEGUNDA – DA VALIDADE DA ATA</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2.1 A presente Ata de Registro de Preços terá validade de 12 (doze) meses consecutivos contados da data de assinatura deste termo.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2.2 Durante o prazo de validade desta Ata de Registro de Preço, o Município de Planalto/RS, não será obrigado a firmar as contratações que dela poderão advir, facultando-se lhe a realização de licitação específica para a aquisição pretendida, sendo assegurado ao(s) beneficiário(s) do registro preferência de fornecimento em igualdade de condições.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2.3 Os preços, durante a vigência da Ata, serão fixos e irreajustáveis, exceto nas hipóteses devidamente comprovadas, de ocorrência de situação prevista na alínea “d” do inciso II do art. 65 da Lei 8.666/93 ou de redução dos preços praticados no mercado.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2.4 A Ata poderá sofrer alterações de acordo com as condições estabelecidas no art. 65 da Lei 8.666/93.</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TERCEIRA – DA ENTREGA</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3.1 A entrega do objeto desta licitação deverá se dar num prazo máximo de 15(quinze) dias, contados a partir da emissão e recebimento da Autorização de Fornecimento.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3.2 Os materiais/produtos, objeto desta licitação, deverão ser entregues na Secretaria de Educação, situado no endereço: Rua Humberto de Campos, 732, Centro, Planalto/RS.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3.3 No caso de se constatar qualquer irregularidade ou incompatibilidade nos itens fornecidos em relação à proposta comercial da contratada ou em relação às condições expressas neste Edital, os mesmos serão sumariamente rejeitados, sujeitando-se a contratada às penalidades constantes do Edital, item 13 e subitens.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3.4 A municipalidade se reserva o direito de adquirir somente parte dos produtos listados.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QUARTA – DO PAGAMENTO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4.1 O pagamento será efetuado no Departamento de Tesouraria, mediante apresentação da Nota Fiscal, devidamente certificada pelo órgão competente, recebedor do objeto licitado.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4.2 O Pagamento será efetuado através de ordem bancária e/ou depósito na conta do fornecedor.</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4.3 A(s) despesa(s) decorrente(s) do fornecimento do objeto desta licitação correrão às dotações informadas nas Autorizações de Fornecimento. (Decreto 7.892/2013, Art. 7º §2º).</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QUINTA – DAS PENALIDADES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5.1 Nos termos do art. 87 da Lei n. 8.666/1993, pela inexecução total ou parcial do estabelecido neste edital de Licitação, este Município poderá aplicar à CONTRATADA as seguintes penalidades: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I – ADVERTÊNCIA: será aplicada por escrito, quando o CONTRATADO deixar de atender determinações necessárias à regularização de faltas ou defeitos concernentes à execução dos serviços ou entrega dos bens, bem como por atos que correspondam a pequenas irregularidades verificadas na execução deste instrumento, que venham ou não causar dano à Administração ou a terceiros;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II – MULTAS: serão aplicadas por infrações que obstaculizem a concretização do objeto licitado, por culpa do CONTRATADO, e compreenderão: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 Atraso de até 10 (dez) dias na entrega do produto, execução de obra e/ou prestação do serviço, multa de 05% (cinco por cento) do valor atualizado do contrato;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b) Atraso superior a 10 (dez) dias na entrega do produto, execução de obra e/ou prestação do serviço, multa de 10% (dez por cento) do valor atualizado do contrato, sem prejuízo da rescisão unilateral por parte do Município de Planalto/RS;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c) Será aplicada multa de 15% (quinze por cento) sobre o valor total do contrato, pelo descumprimento de quaisquer das obrigações contidas no edital, ressalvadas aquelas para as quais tenham sido fixadas penalidades específicas, sem prejuízo da rescisão unilateral por parte do Município de Planalto/RS;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5.1.1 A multa deverá ser recolhida aos cofres do Município de Planalto/RS, dentro do prazo de 10 (dez) dias úteis após a respectiva notificação.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5.1.2 Não solvida a multa, nos termos aqui previstos, será ela descontada dos créditos existentes em nome da CONTRATADA ou, não havendo esses ou sendo ela maior que o crédito, lançados em dívida ativa e/ou cobrada judicialmente com ônus ao devedor em qualquer hipótese;</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5.1.3 As multas previstas neste inciso são cumulativas, ou seja, incidem umas sobre as outras, em seus limites incidentes sobre cada uma delas;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III – SUSPENSÃO TEMPORÁRIA DE CONTRATAR COM O MUNICÍPIO: A licitante será sancionada com a pena de suspensão temporária de licitar ou contratar com este Município e será descredenciada do seu Cadastro de Fornecedores, pelo prazo de até 02 (dois) anos, nos seguintes casos: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 fizer declaração falsa;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b) deixar de entregar documentação ou apresentar documentação falsa;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c) ensejar o retardamento da execução do objeto;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d) não mantiver a proposta;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e) falhar injustificadamente ou fraudar a execução do contrato;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f) comportar-se de modo inidôneo ou cometer fraude fiscal;</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g) fornecer os produtos em desconformidade com o especificado;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h) não substituir no prazo estipulado os produtos recusados pelo Município;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IV – DECLARAÇÃO DE INIDONEIDADE PARA LICITAR OU CONTRATAR COM A ADMINISTRAÇÃO PÚBLICA: Enquanto perdurarem os motivos determinantes da punição ou até que seja promovida sua reabilitação perante a autoridade que aplicou a penalidade, será declarada inidônea para licitar e contratar com a Administração Pública, nos termos do artigo 87, inciso IV, da Lei 8.666/1993.</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5.2 A LICITANTE e/ou a CONTRATADA ficarão ainda sujeitas ao cancelamento de suas inscrições no Cadastro de Fornecedores deste Município.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5.3 As penalidades poderão ser aplicadas isolada ou cumulativamente, nos termos da lei.</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5.4 As penalidades deste edital e de seu contrato poderão ser aplicadas cumulativamente com as penalidades disposta no art. 7º, da Lei nº 10.520/02.</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5.5 Na aplicação das penalidades serão admitidos os recursos em lei, observando-se o contraditório e a ampla defesa.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5.6 As penalidades previstas poderão ser minoradas ou não serão aplicadas quando o descumprimento do estipulado no contrato ou no edital decorrer de justa causa ou impedimento devidamente comprovado e aceito pelo Município de Planalto/RS.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SEXTA – DO CANCELAMENTO DA ATA DE REGISTRO DE PREÇOS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6.1 Esta Ata de Registro de Preços poderá ser cancelada pela Administração: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6.1.1 - Automaticamente:</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 por decurso de prazo de vigência;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b) quando não restarem fornecedores registrados;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c) quando caracterizado o interesse público.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6.2 O Proponente terá o seu registro de preços cancelado na Ata, por intermédio de processo administrativo específico, assegurado o contraditório e ampla defesa: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6.2.1- A pedido, quando: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 comprovar estar impossibilitado de cumprir as exigências da Ata, por ocorrência de casos fortuitos ou de força maior;</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b) o seu preço registrado se tornar, comprovadamente, inexequível em função da elevação dos preços de mercado dos insumos que compõem o custo do serviço.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6.2.2 A solicitação dos fornecedores para cancelamento dos preços registrados deverá ser formulada com a antecedência de 30 (trinta) dias, facultada à Administração a aplicação das penalidades previstas na cláusula Sétima desta Ata, caso não aceitas as razões do pedido.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 Por iniciativa da Administração Municipal, quando: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6.3.1 o fornecedor que perder qualquer condição de habilitação exigida no processo licitatório, ou seja, não cumprir o estabelecido no item 8 do Edital;</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6.3.2 por razões de interesse público, devidamente motivadas e justificadas;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6.3.3 o fornecedor não cumprir as obrigações decorrentes desta Ata de Registro de Preços;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6.3.4 o fornecedor não comparecer ou se recusar a retirar, no prazo estabelecido, os pedidos decorrentes desta Ata de Registro de Preços;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6.3.5 caracterizada qualquer hipótese de inexecução total ou parcial das condições estabelecidas nesta Ata de Registro de Preço ou nos pedidos dela decorrentes;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6.3.6 não aceitar reduzir seu preço registrado, na hipótese de este se tornar superior àqueles praticados no mercado.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6.4 A comunicação do cancelamento do preço registrado, nos casos previstos, será feita pessoalmente, por meio de documento oficial ou Através de publicação por meio do veiculo oficial de publicação.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CLAUSULA SÉTIMA – DA FISCALIZAÇÃO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7.1 A fiscalização e o acompanhamento da entrega do material será realizada pelo Sr</w:t>
      </w:r>
      <w:r>
        <w:rPr>
          <w:rFonts w:hint="default" w:ascii="Times New Roman" w:hAnsi="Times New Roman" w:cs="Times New Roman"/>
          <w:sz w:val="24"/>
          <w:szCs w:val="24"/>
          <w:lang w:val="pt-BR"/>
        </w:rPr>
        <w:t>a</w:t>
      </w:r>
      <w:r>
        <w:rPr>
          <w:rFonts w:hint="default" w:ascii="Times New Roman" w:hAnsi="Times New Roman" w:cs="Times New Roman"/>
          <w:sz w:val="24"/>
          <w:szCs w:val="24"/>
        </w:rPr>
        <w:t xml:space="preserve"> </w:t>
      </w:r>
      <w:r>
        <w:rPr>
          <w:rFonts w:hint="default" w:ascii="Times New Roman" w:hAnsi="Times New Roman" w:cs="Times New Roman"/>
          <w:sz w:val="24"/>
          <w:szCs w:val="24"/>
          <w:lang w:val="pt-BR"/>
        </w:rPr>
        <w:t>Edione Mallagi</w:t>
      </w:r>
      <w:r>
        <w:rPr>
          <w:rFonts w:hint="default" w:ascii="Times New Roman" w:hAnsi="Times New Roman" w:cs="Times New Roman"/>
          <w:sz w:val="24"/>
          <w:szCs w:val="24"/>
        </w:rPr>
        <w:t>.</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OITAVA – DAS DISPOSIÇÕES FINAIS E DO FORO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8.1 Esta Ata de Registro de Preços não obriga a Administração a firmar as contratações com o Detentor da Ata, ficando-lhe facultada a utilização de outros meios, assegurada, nesta hipótese, a preferência do beneficiário do registro em igualdade de condições, nos termos do parágrafo quarto, artigo 15, da Lei Federal n°. 8.666/93 e suas alterações.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8.2 O descumprimento do prazo de entrega sujeitará o fornecedor às sanções previstas no item 13 do edital de pregão presencial nº 03/2022, que desta Ata faz parte integrante.</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8.3 O registro de preços poderá ser suspenso ou cancelado no interesse da Administração e nas hipóteses dos artigos 77 e 78 da Lei Federal n° 8.666/93, ou a pedido justificado do interessado, presente às razões orientadas pela Teoria da Imprevisão.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8.4 O detentor da ata deverá manter, enquanto vigorar o registro de preços e em compatibilidade com as obrigações por ele assumidas, todas as condições de habilitação e qualificação exigidas no edital de pregão nº 03/2022.</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8.5 Faz parte integrante desta Ata de Registro de Preços, aplicando-se lhe todos os seus dispositivos, o edital de pregão nº 03/2022 seus anexos com os termos aditados e a proposta da detentora da Ata naquilo que não contrariar as presentes disposições.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As questões oriundas desta Ata e do procedimento licitatório que a precedeu, serão dirimidas no Foro da Comarca de Planalto/RS, esgotadas as vias administrativas.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 xml:space="preserve">Planalto/RS, </w:t>
      </w:r>
      <w:r>
        <w:rPr>
          <w:rFonts w:hint="default" w:ascii="Times New Roman" w:hAnsi="Times New Roman" w:cs="Times New Roman"/>
          <w:sz w:val="24"/>
          <w:szCs w:val="24"/>
          <w:lang w:val="pt-BR"/>
        </w:rPr>
        <w:t>09</w:t>
      </w:r>
      <w:r>
        <w:rPr>
          <w:rFonts w:hint="default" w:ascii="Times New Roman" w:hAnsi="Times New Roman" w:cs="Times New Roman"/>
          <w:sz w:val="24"/>
          <w:szCs w:val="24"/>
        </w:rPr>
        <w:t xml:space="preserve"> de</w:t>
      </w:r>
      <w:r>
        <w:rPr>
          <w:rFonts w:hint="default" w:ascii="Times New Roman" w:hAnsi="Times New Roman" w:cs="Times New Roman"/>
          <w:sz w:val="24"/>
          <w:szCs w:val="24"/>
          <w:lang w:val="pt-BR"/>
        </w:rPr>
        <w:t xml:space="preserve"> fevereiro</w:t>
      </w:r>
      <w:r>
        <w:rPr>
          <w:rFonts w:hint="default" w:ascii="Times New Roman" w:hAnsi="Times New Roman" w:cs="Times New Roman"/>
          <w:sz w:val="24"/>
          <w:szCs w:val="24"/>
        </w:rPr>
        <w:t xml:space="preserve"> de 2022.</w:t>
      </w:r>
    </w:p>
    <w:p>
      <w:pPr>
        <w:spacing w:beforeLines="0" w:afterLines="0"/>
        <w:rPr>
          <w:rFonts w:hint="default" w:ascii="Times New Roman" w:hAnsi="Times New Roman" w:cs="Times New Roman"/>
          <w:sz w:val="24"/>
          <w:szCs w:val="24"/>
        </w:rPr>
      </w:pPr>
    </w:p>
    <w:p>
      <w:pPr>
        <w:spacing w:beforeLines="0" w:afterLines="0"/>
        <w:rPr>
          <w:rFonts w:hint="default"/>
          <w:sz w:val="22"/>
          <w:szCs w:val="24"/>
        </w:rPr>
      </w:pPr>
    </w:p>
    <w:p>
      <w:pPr>
        <w:spacing w:beforeLines="0" w:afterLines="0"/>
        <w:rPr>
          <w:rFonts w:hint="default"/>
          <w:b/>
          <w:sz w:val="20"/>
          <w:szCs w:val="24"/>
          <w:lang w:val="pt-BR"/>
        </w:rPr>
      </w:pPr>
      <w:r>
        <w:rPr>
          <w:rFonts w:hint="default"/>
          <w:b/>
          <w:sz w:val="20"/>
          <w:szCs w:val="24"/>
        </w:rPr>
        <w:t xml:space="preserve">MUNICIPIO DE PLANALTO                     </w:t>
      </w:r>
      <w:r>
        <w:rPr>
          <w:rFonts w:hint="default"/>
          <w:b/>
          <w:sz w:val="20"/>
          <w:szCs w:val="24"/>
          <w:lang w:val="pt-BR"/>
        </w:rPr>
        <w:t>ROBERTO DE CONTO &amp; CIA LTDA</w:t>
      </w:r>
    </w:p>
    <w:p>
      <w:pPr>
        <w:spacing w:beforeLines="0" w:afterLines="0"/>
        <w:rPr>
          <w:rFonts w:hint="default"/>
          <w:b/>
          <w:sz w:val="20"/>
          <w:szCs w:val="24"/>
          <w:lang w:val="pt-BR"/>
        </w:rPr>
      </w:pPr>
      <w:r>
        <w:rPr>
          <w:rFonts w:hint="default"/>
          <w:b/>
          <w:sz w:val="20"/>
          <w:szCs w:val="24"/>
          <w:lang w:val="pt-BR"/>
        </w:rPr>
        <w:t xml:space="preserve">Contratante                                 </w:t>
      </w:r>
      <w:bookmarkStart w:id="0" w:name="_GoBack"/>
      <w:bookmarkEnd w:id="0"/>
      <w:r>
        <w:rPr>
          <w:rFonts w:hint="default"/>
          <w:b/>
          <w:sz w:val="20"/>
          <w:szCs w:val="24"/>
          <w:lang w:val="pt-BR"/>
        </w:rPr>
        <w:t xml:space="preserve">    Contratada</w:t>
      </w:r>
    </w:p>
    <w:sectPr>
      <w:pgSz w:w="11907" w:h="16840" w:orient="landscape"/>
      <w:pgMar w:top="2835" w:right="1134" w:bottom="1814" w:left="1134" w:header="254" w:footer="254" w:gutter="0"/>
      <w:lnNumType w:countBy="0" w:distance="360"/>
      <w:cols w:space="72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1"/>
    <w:family w:val="auto"/>
    <w:pitch w:val="default"/>
    <w:sig w:usb0="E0002EFF" w:usb1="C000785B" w:usb2="00000009" w:usb3="00000000" w:csb0="400001FF" w:csb1="FFFF0000"/>
  </w:font>
  <w:font w:name="Calibri">
    <w:panose1 w:val="020F0502020204030204"/>
    <w:charset w:val="01"/>
    <w:family w:val="auto"/>
    <w:pitch w:val="default"/>
    <w:sig w:usb0="E4002EFF" w:usb1="C000247B" w:usb2="00000009" w:usb3="00000000" w:csb0="200001FF" w:csb1="00000000"/>
  </w:font>
  <w:font w:name="Tahoma">
    <w:panose1 w:val="020B0604030504040204"/>
    <w:charset w:val="01"/>
    <w:family w:val="auto"/>
    <w:pitch w:val="default"/>
    <w:sig w:usb0="E1002EFF" w:usb1="C000605B" w:usb2="00000029" w:usb3="00000000" w:csb0="200101FF" w:csb1="20280000"/>
  </w:font>
  <w:font w:name="Courier New">
    <w:panose1 w:val="02070309020205020404"/>
    <w:charset w:val="01"/>
    <w:family w:val="auto"/>
    <w:pitch w:val="default"/>
    <w:sig w:usb0="E0002EFF" w:usb1="C0007843" w:usb2="00000009" w:usb3="00000000" w:csb0="400001FF" w:csb1="FFFF0000"/>
  </w:font>
  <w:font w:name="Arial Narrow">
    <w:panose1 w:val="020B0606020202030204"/>
    <w:charset w:val="01"/>
    <w:family w:val="auto"/>
    <w:pitch w:val="default"/>
    <w:sig w:usb0="00000287" w:usb1="00000800" w:usb2="00000000" w:usb3="00000000" w:csb0="2000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7DFE"/>
    <w:rsid w:val="000408D9"/>
    <w:rsid w:val="00050A31"/>
    <w:rsid w:val="000716D2"/>
    <w:rsid w:val="00071AAB"/>
    <w:rsid w:val="000B259C"/>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1A629E"/>
    <w:rsid w:val="001A7B8E"/>
    <w:rsid w:val="001B34FD"/>
    <w:rsid w:val="00201333"/>
    <w:rsid w:val="00210FA7"/>
    <w:rsid w:val="00216417"/>
    <w:rsid w:val="00221840"/>
    <w:rsid w:val="002263CE"/>
    <w:rsid w:val="0026631D"/>
    <w:rsid w:val="0028105B"/>
    <w:rsid w:val="0028508B"/>
    <w:rsid w:val="002C2F53"/>
    <w:rsid w:val="002D4A07"/>
    <w:rsid w:val="0033518C"/>
    <w:rsid w:val="003437C2"/>
    <w:rsid w:val="0036428A"/>
    <w:rsid w:val="00377186"/>
    <w:rsid w:val="003A1C03"/>
    <w:rsid w:val="003E765A"/>
    <w:rsid w:val="00411BF7"/>
    <w:rsid w:val="00414627"/>
    <w:rsid w:val="00425D63"/>
    <w:rsid w:val="004308B3"/>
    <w:rsid w:val="004643D8"/>
    <w:rsid w:val="00476AE6"/>
    <w:rsid w:val="00497C24"/>
    <w:rsid w:val="004C7BA5"/>
    <w:rsid w:val="004E7628"/>
    <w:rsid w:val="004F48F2"/>
    <w:rsid w:val="00511417"/>
    <w:rsid w:val="005149B1"/>
    <w:rsid w:val="00552936"/>
    <w:rsid w:val="005647F2"/>
    <w:rsid w:val="005662D1"/>
    <w:rsid w:val="00573A09"/>
    <w:rsid w:val="005A4526"/>
    <w:rsid w:val="005C1B16"/>
    <w:rsid w:val="005D6CCA"/>
    <w:rsid w:val="005E53D0"/>
    <w:rsid w:val="006002EB"/>
    <w:rsid w:val="006128EF"/>
    <w:rsid w:val="006264B4"/>
    <w:rsid w:val="006318CD"/>
    <w:rsid w:val="00643033"/>
    <w:rsid w:val="00644CC3"/>
    <w:rsid w:val="00661468"/>
    <w:rsid w:val="006649F0"/>
    <w:rsid w:val="006716B7"/>
    <w:rsid w:val="0067245D"/>
    <w:rsid w:val="0068470E"/>
    <w:rsid w:val="006957CB"/>
    <w:rsid w:val="00695DCD"/>
    <w:rsid w:val="006A05CC"/>
    <w:rsid w:val="006A35A7"/>
    <w:rsid w:val="006A4E15"/>
    <w:rsid w:val="006D5108"/>
    <w:rsid w:val="007152D7"/>
    <w:rsid w:val="007333E1"/>
    <w:rsid w:val="00746C14"/>
    <w:rsid w:val="007C2C59"/>
    <w:rsid w:val="007C7003"/>
    <w:rsid w:val="00801F23"/>
    <w:rsid w:val="008020D4"/>
    <w:rsid w:val="00837632"/>
    <w:rsid w:val="008409BE"/>
    <w:rsid w:val="0085640F"/>
    <w:rsid w:val="008567AA"/>
    <w:rsid w:val="00892712"/>
    <w:rsid w:val="008A680A"/>
    <w:rsid w:val="008B0BB0"/>
    <w:rsid w:val="008C4BEC"/>
    <w:rsid w:val="008E6C4B"/>
    <w:rsid w:val="008F18C0"/>
    <w:rsid w:val="00907648"/>
    <w:rsid w:val="00930FDE"/>
    <w:rsid w:val="0093526A"/>
    <w:rsid w:val="00943754"/>
    <w:rsid w:val="0094391A"/>
    <w:rsid w:val="00984C93"/>
    <w:rsid w:val="00987CE1"/>
    <w:rsid w:val="009906A4"/>
    <w:rsid w:val="0099405C"/>
    <w:rsid w:val="009C600F"/>
    <w:rsid w:val="009D3723"/>
    <w:rsid w:val="009E04F2"/>
    <w:rsid w:val="00A03B7B"/>
    <w:rsid w:val="00A200C9"/>
    <w:rsid w:val="00A250D5"/>
    <w:rsid w:val="00A32F56"/>
    <w:rsid w:val="00A36028"/>
    <w:rsid w:val="00A42B73"/>
    <w:rsid w:val="00A6596A"/>
    <w:rsid w:val="00A825CA"/>
    <w:rsid w:val="00A91424"/>
    <w:rsid w:val="00AA2C77"/>
    <w:rsid w:val="00AC3FB9"/>
    <w:rsid w:val="00AC702A"/>
    <w:rsid w:val="00AD226F"/>
    <w:rsid w:val="00AD2CA7"/>
    <w:rsid w:val="00AE41C8"/>
    <w:rsid w:val="00B13A52"/>
    <w:rsid w:val="00B24CF4"/>
    <w:rsid w:val="00B26993"/>
    <w:rsid w:val="00B352FA"/>
    <w:rsid w:val="00B4570C"/>
    <w:rsid w:val="00B5208C"/>
    <w:rsid w:val="00B74876"/>
    <w:rsid w:val="00BB3A9B"/>
    <w:rsid w:val="00BB7C2B"/>
    <w:rsid w:val="00BC1664"/>
    <w:rsid w:val="00BC2546"/>
    <w:rsid w:val="00BD2FE4"/>
    <w:rsid w:val="00C04849"/>
    <w:rsid w:val="00C05085"/>
    <w:rsid w:val="00C11270"/>
    <w:rsid w:val="00C1593D"/>
    <w:rsid w:val="00C56C7E"/>
    <w:rsid w:val="00C73368"/>
    <w:rsid w:val="00C776A4"/>
    <w:rsid w:val="00C9393C"/>
    <w:rsid w:val="00CA2C6C"/>
    <w:rsid w:val="00CB4E5A"/>
    <w:rsid w:val="00CC0600"/>
    <w:rsid w:val="00CC78AC"/>
    <w:rsid w:val="00CF346E"/>
    <w:rsid w:val="00CF7953"/>
    <w:rsid w:val="00D07232"/>
    <w:rsid w:val="00D10245"/>
    <w:rsid w:val="00D21BDD"/>
    <w:rsid w:val="00D65F07"/>
    <w:rsid w:val="00D86641"/>
    <w:rsid w:val="00D92BB7"/>
    <w:rsid w:val="00DC76D2"/>
    <w:rsid w:val="00DD30ED"/>
    <w:rsid w:val="00E6404D"/>
    <w:rsid w:val="00E64C21"/>
    <w:rsid w:val="00E922C6"/>
    <w:rsid w:val="00EC24C6"/>
    <w:rsid w:val="00EE6444"/>
    <w:rsid w:val="00EF2933"/>
    <w:rsid w:val="00F05146"/>
    <w:rsid w:val="00F1115D"/>
    <w:rsid w:val="00F3513C"/>
    <w:rsid w:val="00F465C5"/>
    <w:rsid w:val="00F5180D"/>
    <w:rsid w:val="00F51B21"/>
    <w:rsid w:val="00F51D87"/>
    <w:rsid w:val="00F534DB"/>
    <w:rsid w:val="00F76337"/>
    <w:rsid w:val="00F8455C"/>
    <w:rsid w:val="00FE1EC4"/>
    <w:rsid w:val="00FF2C93"/>
    <w:rsid w:val="1F2766A5"/>
    <w:rsid w:val="24D23F54"/>
    <w:rsid w:val="41C44C3F"/>
    <w:rsid w:val="43106796"/>
    <w:rsid w:val="514F7FAD"/>
    <w:rsid w:val="59CE290C"/>
    <w:rsid w:val="5B0132BC"/>
    <w:rsid w:val="617F76F8"/>
    <w:rsid w:val="705C05BD"/>
    <w:rsid w:val="7EBA29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iPriority="99" w:semiHidden="0" w:name="Normal"/>
    <w:lsdException w:uiPriority="99" w:semiHidden="0" w:name="heading 1"/>
    <w:lsdException w:uiPriority="99" w:semiHidden="0" w:name="heading 2"/>
    <w:lsdException w:uiPriority="99" w:semiHidden="0" w:name="heading 3"/>
    <w:lsdException w:uiPriority="99" w:semiHidden="0" w:name="heading 4"/>
    <w:lsdException w:uiPriority="99" w:semiHidden="0" w:name="heading 5"/>
    <w:lsdException w:uiPriority="99" w:semiHidden="0" w:name="heading 6"/>
    <w:lsdException w:uiPriority="99" w:semiHidden="0" w:name="heading 7"/>
    <w:lsdException w:uiPriority="99" w:semiHidden="0" w:name="heading 8"/>
    <w:lsdException w:uiPriority="9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iPriority="99" w:semiHidden="0" w:name="Body Text"/>
    <w:lsdException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iPriority="99" w:semiHidden="0" w:name="Body Text Indent 2"/>
    <w:lsdException w:uiPriority="99"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iPriority="99" w:semiHidden="0" w:name="Document Map"/>
    <w:lsdException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iPriority="99" w:semiHidden="0" w:name="Balloon Text"/>
    <w:lsdException w:unhideWhenUsed="0" w:uiPriority="0" w:semiHidden="0" w:name="Table Grid"/>
    <w:lsdException w:unhideWhenUsed="0" w:uiPriority="0" w:semiHidden="0" w:name="Table Theme"/>
    <w:lsdException w:uiPriority="99" w:semiHidden="0" w:name="List Paragraph"/>
  </w:latentStyles>
  <w:style w:type="paragraph" w:default="1" w:styleId="1">
    <w:name w:val="Normal"/>
    <w:unhideWhenUsed/>
    <w:uiPriority w:val="99"/>
    <w:pPr>
      <w:widowControl w:val="0"/>
      <w:autoSpaceDE w:val="0"/>
      <w:autoSpaceDN w:val="0"/>
      <w:adjustRightInd w:val="0"/>
      <w:spacing w:beforeLines="0" w:afterLines="0"/>
    </w:pPr>
    <w:rPr>
      <w:rFonts w:hint="default" w:ascii="Times New Roman" w:hAnsi="Times New Roman" w:eastAsia="Times New Roman"/>
      <w:sz w:val="22"/>
      <w:szCs w:val="24"/>
    </w:rPr>
  </w:style>
  <w:style w:type="paragraph" w:styleId="2">
    <w:name w:val="heading 1"/>
    <w:unhideWhenUsed/>
    <w:uiPriority w:val="99"/>
    <w:pPr>
      <w:widowControl w:val="0"/>
      <w:autoSpaceDE w:val="0"/>
      <w:autoSpaceDN w:val="0"/>
      <w:adjustRightInd w:val="0"/>
      <w:spacing w:beforeLines="0" w:afterLines="0"/>
    </w:pPr>
    <w:rPr>
      <w:rFonts w:hint="default"/>
      <w:sz w:val="28"/>
      <w:szCs w:val="24"/>
    </w:rPr>
  </w:style>
  <w:style w:type="paragraph" w:styleId="3">
    <w:name w:val="heading 2"/>
    <w:unhideWhenUsed/>
    <w:uiPriority w:val="99"/>
    <w:pPr>
      <w:widowControl w:val="0"/>
      <w:autoSpaceDE w:val="0"/>
      <w:autoSpaceDN w:val="0"/>
      <w:adjustRightInd w:val="0"/>
      <w:spacing w:beforeLines="0" w:afterLines="0"/>
    </w:pPr>
    <w:rPr>
      <w:rFonts w:hint="default"/>
      <w:b/>
      <w:sz w:val="24"/>
      <w:szCs w:val="24"/>
    </w:rPr>
  </w:style>
  <w:style w:type="paragraph" w:styleId="4">
    <w:name w:val="heading 3"/>
    <w:unhideWhenUsed/>
    <w:uiPriority w:val="99"/>
    <w:pPr>
      <w:widowControl w:val="0"/>
      <w:autoSpaceDE w:val="0"/>
      <w:autoSpaceDN w:val="0"/>
      <w:adjustRightInd w:val="0"/>
      <w:spacing w:beforeLines="0" w:afterLines="0"/>
      <w:jc w:val="both"/>
    </w:pPr>
    <w:rPr>
      <w:rFonts w:hint="default"/>
      <w:sz w:val="24"/>
      <w:szCs w:val="24"/>
    </w:rPr>
  </w:style>
  <w:style w:type="paragraph" w:styleId="5">
    <w:name w:val="heading 4"/>
    <w:unhideWhenUsed/>
    <w:uiPriority w:val="99"/>
    <w:pPr>
      <w:widowControl w:val="0"/>
      <w:autoSpaceDE w:val="0"/>
      <w:autoSpaceDN w:val="0"/>
      <w:adjustRightInd w:val="0"/>
      <w:spacing w:beforeLines="0" w:afterLines="0"/>
    </w:pPr>
    <w:rPr>
      <w:rFonts w:hint="default"/>
      <w:sz w:val="24"/>
      <w:szCs w:val="24"/>
    </w:rPr>
  </w:style>
  <w:style w:type="paragraph" w:styleId="6">
    <w:name w:val="heading 5"/>
    <w:unhideWhenUsed/>
    <w:uiPriority w:val="99"/>
    <w:pPr>
      <w:widowControl w:val="0"/>
      <w:autoSpaceDE w:val="0"/>
      <w:autoSpaceDN w:val="0"/>
      <w:adjustRightInd w:val="0"/>
      <w:spacing w:beforeLines="0" w:afterLines="0"/>
      <w:ind w:left="2832" w:firstLine="708"/>
    </w:pPr>
    <w:rPr>
      <w:rFonts w:hint="default"/>
      <w:b/>
      <w:sz w:val="28"/>
      <w:szCs w:val="24"/>
    </w:rPr>
  </w:style>
  <w:style w:type="paragraph" w:styleId="7">
    <w:name w:val="heading 6"/>
    <w:unhideWhenUsed/>
    <w:uiPriority w:val="99"/>
    <w:pPr>
      <w:widowControl w:val="0"/>
      <w:autoSpaceDE w:val="0"/>
      <w:autoSpaceDN w:val="0"/>
      <w:adjustRightInd w:val="0"/>
      <w:spacing w:beforeLines="0" w:afterLines="0"/>
      <w:jc w:val="center"/>
    </w:pPr>
    <w:rPr>
      <w:rFonts w:hint="default"/>
      <w:b/>
      <w:sz w:val="24"/>
      <w:szCs w:val="24"/>
    </w:rPr>
  </w:style>
  <w:style w:type="paragraph" w:styleId="8">
    <w:name w:val="heading 7"/>
    <w:unhideWhenUsed/>
    <w:uiPriority w:val="99"/>
    <w:pPr>
      <w:widowControl w:val="0"/>
      <w:autoSpaceDE w:val="0"/>
      <w:autoSpaceDN w:val="0"/>
      <w:adjustRightInd w:val="0"/>
      <w:spacing w:beforeLines="0" w:afterLines="0"/>
      <w:jc w:val="center"/>
    </w:pPr>
    <w:rPr>
      <w:rFonts w:hint="default" w:ascii="Arial" w:hAnsi="Arial"/>
      <w:sz w:val="24"/>
      <w:szCs w:val="24"/>
    </w:rPr>
  </w:style>
  <w:style w:type="paragraph" w:styleId="9">
    <w:name w:val="heading 8"/>
    <w:unhideWhenUsed/>
    <w:uiPriority w:val="99"/>
    <w:pPr>
      <w:widowControl w:val="0"/>
      <w:autoSpaceDE w:val="0"/>
      <w:autoSpaceDN w:val="0"/>
      <w:adjustRightInd w:val="0"/>
      <w:spacing w:beforeLines="0" w:afterLines="0"/>
      <w:jc w:val="center"/>
    </w:pPr>
    <w:rPr>
      <w:rFonts w:hint="default" w:ascii="Calibri" w:hAnsi="Calibri" w:eastAsia="Calibri"/>
      <w:i/>
      <w:sz w:val="24"/>
      <w:szCs w:val="24"/>
    </w:rPr>
  </w:style>
  <w:style w:type="paragraph" w:styleId="10">
    <w:name w:val="heading 9"/>
    <w:unhideWhenUsed/>
    <w:uiPriority w:val="99"/>
    <w:pPr>
      <w:widowControl w:val="0"/>
      <w:autoSpaceDE w:val="0"/>
      <w:autoSpaceDN w:val="0"/>
      <w:adjustRightInd w:val="0"/>
      <w:spacing w:beforeLines="0" w:afterLines="0"/>
      <w:ind w:right="-568"/>
      <w:jc w:val="both"/>
    </w:pPr>
    <w:rPr>
      <w:rFonts w:hint="default" w:ascii="Arial" w:hAnsi="Arial"/>
      <w:b/>
      <w:sz w:val="24"/>
      <w:szCs w:val="24"/>
    </w:rPr>
  </w:style>
  <w:style w:type="character" w:default="1" w:styleId="11">
    <w:name w:val="Default Paragraph Font"/>
    <w:semiHidden/>
    <w:uiPriority w:val="0"/>
  </w:style>
  <w:style w:type="table" w:default="1" w:styleId="12">
    <w:name w:val="Normal Table"/>
    <w:semiHidden/>
    <w:uiPriority w:val="0"/>
    <w:tblPr>
      <w:tblCellMar>
        <w:top w:w="0" w:type="dxa"/>
        <w:left w:w="108" w:type="dxa"/>
        <w:bottom w:w="0" w:type="dxa"/>
        <w:right w:w="108" w:type="dxa"/>
      </w:tblCellMar>
    </w:tblPr>
  </w:style>
  <w:style w:type="character" w:styleId="13">
    <w:name w:val="Hyperlink"/>
    <w:unhideWhenUsed/>
    <w:uiPriority w:val="99"/>
    <w:rPr>
      <w:rFonts w:hAnsi="Times New Roman" w:eastAsia="Times New Roman"/>
      <w:shd w:val="clear"/>
    </w:rPr>
  </w:style>
  <w:style w:type="paragraph" w:styleId="14">
    <w:name w:val="Body Text"/>
    <w:unhideWhenUsed/>
    <w:uiPriority w:val="99"/>
    <w:pPr>
      <w:widowControl w:val="0"/>
      <w:autoSpaceDE w:val="0"/>
      <w:autoSpaceDN w:val="0"/>
      <w:adjustRightInd w:val="0"/>
      <w:spacing w:beforeLines="0" w:afterLines="0"/>
    </w:pPr>
    <w:rPr>
      <w:rFonts w:hint="default" w:ascii="Times New Roman" w:hAnsi="Times New Roman" w:eastAsia="Times New Roman"/>
      <w:b/>
      <w:sz w:val="20"/>
      <w:szCs w:val="24"/>
    </w:rPr>
  </w:style>
  <w:style w:type="paragraph" w:styleId="15">
    <w:name w:val="Body Text Indent 2"/>
    <w:unhideWhenUsed/>
    <w:uiPriority w:val="99"/>
    <w:pPr>
      <w:widowControl w:val="0"/>
      <w:autoSpaceDE w:val="0"/>
      <w:autoSpaceDN w:val="0"/>
      <w:adjustRightInd w:val="0"/>
      <w:spacing w:beforeLines="0" w:after="120" w:afterLines="0" w:line="480" w:lineRule="auto"/>
      <w:ind w:left="283"/>
    </w:pPr>
    <w:rPr>
      <w:rFonts w:hint="default" w:ascii="Arial Narrow" w:hAnsi="Arial Narrow" w:eastAsia="Arial Narrow"/>
      <w:sz w:val="24"/>
      <w:szCs w:val="24"/>
    </w:rPr>
  </w:style>
  <w:style w:type="paragraph" w:styleId="16">
    <w:name w:val="Plain Text"/>
    <w:unhideWhenUsed/>
    <w:uiPriority w:val="99"/>
    <w:pPr>
      <w:widowControl w:val="0"/>
      <w:autoSpaceDE w:val="0"/>
      <w:autoSpaceDN w:val="0"/>
      <w:adjustRightInd w:val="0"/>
      <w:spacing w:beforeLines="0" w:afterLines="0"/>
    </w:pPr>
    <w:rPr>
      <w:rFonts w:hint="default" w:ascii="Courier New" w:hAnsi="Courier New"/>
      <w:sz w:val="20"/>
      <w:szCs w:val="24"/>
    </w:rPr>
  </w:style>
  <w:style w:type="paragraph" w:styleId="17">
    <w:name w:val="header"/>
    <w:unhideWhenUsed/>
    <w:uiPriority w:val="99"/>
    <w:pPr>
      <w:widowControl w:val="0"/>
      <w:autoSpaceDE w:val="0"/>
      <w:autoSpaceDN w:val="0"/>
      <w:adjustRightInd w:val="0"/>
      <w:spacing w:beforeLines="0" w:afterLines="0"/>
    </w:pPr>
    <w:rPr>
      <w:rFonts w:hint="default" w:ascii="Arial Narrow" w:hAnsi="Arial Narrow" w:eastAsia="Arial Narrow"/>
      <w:sz w:val="24"/>
      <w:szCs w:val="24"/>
    </w:rPr>
  </w:style>
  <w:style w:type="paragraph" w:styleId="18">
    <w:name w:val="Document Map"/>
    <w:unhideWhenUsed/>
    <w:uiPriority w:val="99"/>
    <w:pPr>
      <w:widowControl w:val="0"/>
      <w:shd w:val="clear" w:color="auto" w:fill="000080"/>
      <w:autoSpaceDE w:val="0"/>
      <w:autoSpaceDN w:val="0"/>
      <w:adjustRightInd w:val="0"/>
      <w:spacing w:beforeLines="0" w:afterLines="0"/>
    </w:pPr>
    <w:rPr>
      <w:rFonts w:hint="default" w:ascii="Tahoma" w:hAnsi="Tahoma" w:eastAsia="Tahoma"/>
      <w:sz w:val="20"/>
      <w:szCs w:val="24"/>
    </w:rPr>
  </w:style>
  <w:style w:type="paragraph" w:styleId="19">
    <w:name w:val="Body Text Indent 3"/>
    <w:unhideWhenUsed/>
    <w:uiPriority w:val="99"/>
    <w:pPr>
      <w:widowControl w:val="0"/>
      <w:autoSpaceDE w:val="0"/>
      <w:autoSpaceDN w:val="0"/>
      <w:adjustRightInd w:val="0"/>
      <w:spacing w:beforeLines="0" w:afterLines="0"/>
      <w:ind w:firstLine="1680"/>
      <w:jc w:val="both"/>
    </w:pPr>
    <w:rPr>
      <w:rFonts w:hint="default" w:ascii="Arial" w:hAnsi="Arial"/>
      <w:b/>
      <w:sz w:val="24"/>
      <w:szCs w:val="24"/>
    </w:rPr>
  </w:style>
  <w:style w:type="paragraph" w:styleId="20">
    <w:name w:val="Balloon Text"/>
    <w:unhideWhenUsed/>
    <w:uiPriority w:val="99"/>
    <w:pPr>
      <w:widowControl w:val="0"/>
      <w:autoSpaceDE w:val="0"/>
      <w:autoSpaceDN w:val="0"/>
      <w:adjustRightInd w:val="0"/>
      <w:spacing w:beforeLines="0" w:afterLines="0"/>
    </w:pPr>
    <w:rPr>
      <w:rFonts w:hint="default" w:ascii="Tahoma" w:hAnsi="Tahoma" w:eastAsia="Tahoma"/>
      <w:sz w:val="16"/>
      <w:szCs w:val="24"/>
    </w:rPr>
  </w:style>
  <w:style w:type="paragraph" w:styleId="21">
    <w:name w:val="Body Text Indent"/>
    <w:unhideWhenUsed/>
    <w:uiPriority w:val="99"/>
    <w:pPr>
      <w:widowControl w:val="0"/>
      <w:autoSpaceDE w:val="0"/>
      <w:autoSpaceDN w:val="0"/>
      <w:adjustRightInd w:val="0"/>
      <w:spacing w:beforeLines="0" w:afterLines="0"/>
      <w:ind w:left="4962"/>
    </w:pPr>
    <w:rPr>
      <w:rFonts w:hint="default"/>
      <w:b/>
      <w:sz w:val="24"/>
      <w:szCs w:val="24"/>
    </w:rPr>
  </w:style>
  <w:style w:type="paragraph" w:styleId="22">
    <w:name w:val="List Paragraph"/>
    <w:unhideWhenUsed/>
    <w:uiPriority w:val="99"/>
    <w:pPr>
      <w:widowControl w:val="0"/>
      <w:autoSpaceDE w:val="0"/>
      <w:autoSpaceDN w:val="0"/>
      <w:adjustRightInd w:val="0"/>
      <w:spacing w:beforeLines="0" w:after="200" w:afterLines="0" w:line="276" w:lineRule="auto"/>
      <w:ind w:left="720"/>
    </w:pPr>
    <w:rPr>
      <w:rFonts w:hint="default" w:ascii="Calibri" w:hAnsi="Calibri" w:eastAsia="Calibri"/>
      <w:sz w:val="22"/>
      <w:szCs w:val="24"/>
    </w:rPr>
  </w:style>
  <w:style w:type="paragraph" w:customStyle="1" w:styleId="23">
    <w:name w:val="Texto padrão"/>
    <w:unhideWhenUsed/>
    <w:uiPriority w:val="99"/>
    <w:pPr>
      <w:widowControl w:val="0"/>
      <w:autoSpaceDE w:val="0"/>
      <w:autoSpaceDN w:val="0"/>
      <w:adjustRightInd w:val="0"/>
      <w:spacing w:beforeLines="0" w:afterLines="0"/>
    </w:pPr>
    <w:rPr>
      <w:rFonts w:hint="default" w:ascii="Arial" w:hAnsi="Arial"/>
      <w:sz w:val="24"/>
      <w:szCs w:val="24"/>
    </w:rPr>
  </w:style>
  <w:style w:type="paragraph" w:customStyle="1" w:styleId="24">
    <w:name w:val="WW-Corpo de texto 3"/>
    <w:unhideWhenUsed/>
    <w:uiPriority w:val="99"/>
    <w:pPr>
      <w:widowControl w:val="0"/>
      <w:autoSpaceDE w:val="0"/>
      <w:autoSpaceDN w:val="0"/>
      <w:adjustRightInd w:val="0"/>
      <w:spacing w:beforeLines="0" w:afterLines="0"/>
      <w:jc w:val="both"/>
    </w:pPr>
    <w:rPr>
      <w:rFonts w:hint="default" w:ascii="Courier New" w:hAnsi="Courier New"/>
      <w:color w:val="000000"/>
      <w:sz w:val="24"/>
      <w:szCs w:val="24"/>
    </w:rPr>
  </w:style>
  <w:style w:type="paragraph" w:customStyle="1" w:styleId="25">
    <w:name w:val="Título 6 Char"/>
    <w:basedOn w:val="11"/>
    <w:unhideWhenUsed/>
    <w:uiPriority w:val="99"/>
    <w:pPr>
      <w:spacing w:beforeLines="0" w:afterLines="0"/>
    </w:pPr>
    <w:rPr>
      <w:rFonts w:hint="default"/>
      <w:b/>
      <w:sz w:val="22"/>
      <w:szCs w:val="24"/>
    </w:rPr>
  </w:style>
  <w:style w:type="paragraph" w:customStyle="1" w:styleId="26">
    <w:name w:val="Título 7 Char"/>
    <w:basedOn w:val="11"/>
    <w:unhideWhenUsed/>
    <w:uiPriority w:val="99"/>
    <w:pPr>
      <w:spacing w:beforeLines="0" w:afterLines="0"/>
    </w:pPr>
    <w:rPr>
      <w:rFonts w:hint="default"/>
      <w:sz w:val="24"/>
      <w:szCs w:val="24"/>
    </w:rPr>
  </w:style>
  <w:style w:type="paragraph" w:customStyle="1" w:styleId="27">
    <w:name w:val="Título 8 Char"/>
    <w:basedOn w:val="11"/>
    <w:unhideWhenUsed/>
    <w:uiPriority w:val="99"/>
    <w:pPr>
      <w:spacing w:beforeLines="0" w:afterLines="0"/>
    </w:pPr>
    <w:rPr>
      <w:rFonts w:hint="default"/>
      <w:i/>
      <w:sz w:val="24"/>
      <w:szCs w:val="24"/>
    </w:rPr>
  </w:style>
  <w:style w:type="paragraph" w:customStyle="1" w:styleId="28">
    <w:name w:val="Texto sem Formatação Char"/>
    <w:unhideWhenUsed/>
    <w:uiPriority w:val="99"/>
    <w:pPr>
      <w:widowControl w:val="0"/>
      <w:autoSpaceDE w:val="0"/>
      <w:autoSpaceDN w:val="0"/>
      <w:adjustRightInd w:val="0"/>
      <w:spacing w:beforeLines="0" w:afterLines="0"/>
    </w:pPr>
    <w:rPr>
      <w:rFonts w:hint="default" w:ascii="Courier New" w:hAnsi="Courier New"/>
      <w:sz w:val="22"/>
      <w:szCs w:val="24"/>
    </w:rPr>
  </w:style>
  <w:style w:type="paragraph" w:customStyle="1" w:styleId="29">
    <w:name w:val="Default"/>
    <w:unhideWhenUsed/>
    <w:uiPriority w:val="99"/>
    <w:pPr>
      <w:widowControl w:val="0"/>
      <w:autoSpaceDE w:val="0"/>
      <w:autoSpaceDN w:val="0"/>
      <w:adjustRightInd w:val="0"/>
      <w:spacing w:beforeLines="0" w:afterLines="0"/>
    </w:pPr>
    <w:rPr>
      <w:rFonts w:hint="default" w:ascii="Arial" w:hAnsi="Arial"/>
      <w:color w:val="000000"/>
      <w:sz w:val="24"/>
      <w:szCs w:val="24"/>
    </w:rPr>
  </w:style>
  <w:style w:type="paragraph" w:customStyle="1" w:styleId="30">
    <w:name w:val="Table Paragraph"/>
    <w:unhideWhenUsed/>
    <w:uiPriority w:val="99"/>
    <w:pPr>
      <w:widowControl w:val="0"/>
      <w:autoSpaceDE w:val="0"/>
      <w:autoSpaceDN w:val="0"/>
      <w:adjustRightInd w:val="0"/>
      <w:spacing w:beforeLines="0" w:afterLines="0"/>
    </w:pPr>
    <w:rPr>
      <w:rFonts w:hint="default" w:ascii="Times New Roman" w:hAnsi="Times New Roman" w:eastAsia="Times New Roman"/>
      <w:sz w:val="22"/>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2020-07-28T16:53:00Z</dcterms:created>
  <dc:creator>Admin</dc:creator>
  <cp:lastModifiedBy>google1580733038</cp:lastModifiedBy>
  <dcterms:modified xsi:type="dcterms:W3CDTF">2022-02-09T17:29:50Z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1046-11.2.0.10463</vt:lpwstr>
  </property>
  <property fmtid="{D5CDD505-2E9C-101B-9397-08002B2CF9AE}" pid="3" name="ICV">
    <vt:lpwstr>C5035E9F5E6B4CDB96CA2E482AFB8D52</vt:lpwstr>
  </property>
</Properties>
</file>