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p>
      <w:pPr>
        <w:spacing w:beforeLines="0" w:afterLines="0"/>
        <w:jc w:val="center"/>
        <w:rPr>
          <w:rFonts w:hint="default"/>
          <w:b/>
          <w:sz w:val="22"/>
          <w:szCs w:val="24"/>
        </w:rPr>
      </w:pPr>
      <w:r>
        <w:rPr>
          <w:rFonts w:hint="default"/>
          <w:b/>
          <w:sz w:val="22"/>
          <w:szCs w:val="24"/>
        </w:rPr>
        <w:t xml:space="preserve">ATA REGISTRO DE PREÇOS Nº. </w:t>
      </w:r>
      <w:r>
        <w:rPr>
          <w:rFonts w:hint="default"/>
          <w:b/>
          <w:sz w:val="22"/>
          <w:szCs w:val="24"/>
          <w:lang w:val="pt-BR"/>
        </w:rPr>
        <w:t>32</w:t>
      </w:r>
      <w:r>
        <w:rPr>
          <w:rFonts w:hint="default"/>
          <w:b/>
          <w:sz w:val="22"/>
          <w:szCs w:val="24"/>
        </w:rPr>
        <w:t>/2022</w:t>
      </w:r>
    </w:p>
    <w:p>
      <w:pPr>
        <w:spacing w:beforeLines="0" w:afterLines="0"/>
        <w:jc w:val="center"/>
        <w:rPr>
          <w:rFonts w:hint="default"/>
          <w:sz w:val="22"/>
          <w:szCs w:val="24"/>
        </w:rPr>
      </w:pPr>
    </w:p>
    <w:p>
      <w:pPr>
        <w:spacing w:beforeLines="0" w:afterLines="0"/>
        <w:ind w:left="4677"/>
        <w:jc w:val="both"/>
        <w:rPr>
          <w:rFonts w:hint="default"/>
          <w:sz w:val="22"/>
          <w:szCs w:val="24"/>
        </w:rPr>
      </w:pPr>
      <w:r>
        <w:rPr>
          <w:rFonts w:hint="default"/>
          <w:sz w:val="22"/>
          <w:szCs w:val="24"/>
        </w:rPr>
        <w:t xml:space="preserve">Ata de Registro de Preço que entre si firmam o MUNICIPIO DE PLANALTO e a empresa </w:t>
      </w:r>
      <w:r>
        <w:rPr>
          <w:rFonts w:hint="default"/>
          <w:sz w:val="22"/>
          <w:szCs w:val="24"/>
          <w:lang w:val="pt-BR"/>
        </w:rPr>
        <w:t>BRITAGEM E ENGENHARIA BASSO MC LTDA</w:t>
      </w:r>
      <w:r>
        <w:rPr>
          <w:rFonts w:hint="default"/>
          <w:sz w:val="22"/>
          <w:szCs w:val="24"/>
        </w:rPr>
        <w:t xml:space="preserve"> objetivando a Aquisição de Peças para o Britador Móvel.</w:t>
      </w:r>
    </w:p>
    <w:p>
      <w:pPr>
        <w:spacing w:beforeLines="0" w:afterLines="0"/>
        <w:ind w:left="5102"/>
        <w:jc w:val="both"/>
        <w:rPr>
          <w:rFonts w:hint="default"/>
          <w:sz w:val="22"/>
          <w:szCs w:val="24"/>
        </w:rPr>
      </w:pPr>
    </w:p>
    <w:p>
      <w:pPr>
        <w:spacing w:beforeLines="0" w:afterLines="0"/>
        <w:jc w:val="both"/>
        <w:rPr>
          <w:rFonts w:hint="default"/>
          <w:sz w:val="22"/>
          <w:szCs w:val="24"/>
        </w:rPr>
      </w:pPr>
      <w:r>
        <w:rPr>
          <w:rFonts w:hint="default"/>
          <w:sz w:val="22"/>
          <w:szCs w:val="24"/>
        </w:rPr>
        <w:t>Aos</w:t>
      </w:r>
      <w:r>
        <w:rPr>
          <w:rFonts w:hint="default"/>
          <w:sz w:val="22"/>
          <w:szCs w:val="24"/>
          <w:lang w:val="pt-BR"/>
        </w:rPr>
        <w:t xml:space="preserve"> vinte e quatro</w:t>
      </w:r>
      <w:r>
        <w:rPr>
          <w:rFonts w:hint="default"/>
          <w:sz w:val="22"/>
          <w:szCs w:val="24"/>
        </w:rPr>
        <w:t xml:space="preserve"> dias do mês de </w:t>
      </w:r>
      <w:r>
        <w:rPr>
          <w:rFonts w:hint="default"/>
          <w:sz w:val="22"/>
          <w:szCs w:val="24"/>
          <w:lang w:val="pt-BR"/>
        </w:rPr>
        <w:t xml:space="preserve">maio </w:t>
      </w:r>
      <w:r>
        <w:rPr>
          <w:rFonts w:hint="default"/>
          <w:sz w:val="22"/>
          <w:szCs w:val="24"/>
        </w:rPr>
        <w:t xml:space="preserve">de dois mil e </w:t>
      </w:r>
      <w:r>
        <w:rPr>
          <w:rFonts w:hint="default"/>
          <w:sz w:val="22"/>
          <w:szCs w:val="24"/>
          <w:lang w:val="pt-BR"/>
        </w:rPr>
        <w:t>vinte e dois</w:t>
      </w:r>
      <w:r>
        <w:rPr>
          <w:rFonts w:hint="default"/>
          <w:sz w:val="22"/>
          <w:szCs w:val="24"/>
        </w:rPr>
        <w:t xml:space="preserve">, na Prefeitura Municipal de Planalto, presentes de um lado o MUNICIPIO DE PLANALTO, CNPJ 87.612.891/0001-15, neste ato representado pelo Prefeito Municipal, Sr. CRISTIANO GNOATTO aqui denominado simplesmente CONTRATANTE e, de outro, a empresa </w:t>
      </w:r>
      <w:r>
        <w:rPr>
          <w:rFonts w:hint="default"/>
          <w:sz w:val="22"/>
          <w:szCs w:val="24"/>
          <w:lang w:val="pt-BR"/>
        </w:rPr>
        <w:t>BRITAGEM E ENGENHARIA BASSO MC LTDA</w:t>
      </w:r>
      <w:r>
        <w:rPr>
          <w:rFonts w:hint="default"/>
          <w:sz w:val="22"/>
          <w:szCs w:val="24"/>
        </w:rPr>
        <w:t xml:space="preserve"> CNPJ nº </w:t>
      </w:r>
      <w:r>
        <w:rPr>
          <w:rFonts w:hint="default"/>
          <w:sz w:val="22"/>
          <w:szCs w:val="24"/>
          <w:lang w:val="pt-BR"/>
        </w:rPr>
        <w:t>03.952.762/0001-86</w:t>
      </w:r>
      <w:r>
        <w:rPr>
          <w:rFonts w:hint="default"/>
          <w:sz w:val="22"/>
          <w:szCs w:val="24"/>
        </w:rPr>
        <w:t>, com sede n</w:t>
      </w:r>
      <w:r>
        <w:rPr>
          <w:rFonts w:hint="default"/>
          <w:sz w:val="22"/>
          <w:szCs w:val="24"/>
          <w:lang w:val="pt-BR"/>
        </w:rPr>
        <w:t>a Avenida Duque de Caxias</w:t>
      </w:r>
      <w:r>
        <w:rPr>
          <w:rFonts w:hint="default"/>
          <w:sz w:val="22"/>
          <w:szCs w:val="24"/>
        </w:rPr>
        <w:t xml:space="preserve">, Município de </w:t>
      </w:r>
      <w:r>
        <w:rPr>
          <w:rFonts w:hint="default"/>
          <w:sz w:val="22"/>
          <w:szCs w:val="24"/>
          <w:lang w:val="pt-BR"/>
        </w:rPr>
        <w:t>Planalto/RS</w:t>
      </w:r>
      <w:r>
        <w:rPr>
          <w:rFonts w:hint="default"/>
          <w:sz w:val="22"/>
          <w:szCs w:val="24"/>
        </w:rPr>
        <w:t>, aqui denominada “PROMITENTE FORNECEDORA”, nos termos do Art. 15 da Lei Federal nº. 8.666 de 21 de Junho de 1993 e alterações; Lei Federal nº. 10.520/2002; Decreto MunicipaL n.º 05/2020 e demais normas legais aplicáveis, considerando o resultado do Pregão Presencial nº. 17/2022, para REGISTRO DE PREÇOS, firmam a presente Ata de Registro de Preços, em conformidade a legislação pertinente mediante as seguintes clausulas e condições:</w:t>
      </w:r>
    </w:p>
    <w:p>
      <w:pPr>
        <w:spacing w:beforeLines="0" w:afterLines="0"/>
        <w:jc w:val="both"/>
        <w:rPr>
          <w:rFonts w:hint="default"/>
          <w:sz w:val="22"/>
          <w:szCs w:val="24"/>
        </w:rPr>
      </w:pPr>
    </w:p>
    <w:p>
      <w:pPr>
        <w:spacing w:beforeLines="0" w:afterLines="0"/>
        <w:jc w:val="both"/>
        <w:rPr>
          <w:rFonts w:hint="default"/>
          <w:b/>
          <w:sz w:val="22"/>
          <w:szCs w:val="24"/>
        </w:rPr>
      </w:pPr>
      <w:r>
        <w:rPr>
          <w:rFonts w:hint="default"/>
          <w:b/>
          <w:sz w:val="22"/>
          <w:szCs w:val="24"/>
        </w:rPr>
        <w:t>CLÁUSULA PRIMEIRA - OBJETO</w:t>
      </w:r>
    </w:p>
    <w:p>
      <w:pPr>
        <w:spacing w:beforeLines="0" w:afterLines="0"/>
        <w:jc w:val="both"/>
        <w:rPr>
          <w:rFonts w:hint="default"/>
          <w:sz w:val="22"/>
          <w:szCs w:val="24"/>
        </w:rPr>
      </w:pPr>
      <w:r>
        <w:rPr>
          <w:rFonts w:hint="default"/>
          <w:sz w:val="22"/>
          <w:szCs w:val="24"/>
        </w:rPr>
        <w:t>1.1 Através da presente ata ficam registrados os seguintes preços, Aquisição Peças para o Britador Móvel; Pregão Presencial nº. 17/2022; Ata Registro de Preço nº. 000/2022, o qual fica fazendo parte integrante da presente Ata, Independentemente de Anexação ou Transcrição.</w:t>
      </w:r>
    </w:p>
    <w:p>
      <w:pPr>
        <w:spacing w:beforeLines="0" w:afterLines="0"/>
        <w:jc w:val="both"/>
        <w:rPr>
          <w:rFonts w:hint="default"/>
          <w:sz w:val="22"/>
          <w:szCs w:val="24"/>
        </w:rPr>
      </w:pPr>
      <w:r>
        <w:rPr>
          <w:rFonts w:hint="default"/>
          <w:sz w:val="22"/>
          <w:szCs w:val="24"/>
        </w:rPr>
        <w:t>1.2 O SISTEMA DE REGISTRO DE PREÇOS (SRP) é um conjunto de procedimentos para registro formal de preços relativos à aquisição e/ou contratação futura, onde as empresas disponibilizam bens e serviços a preços e prazos certos e registrados em documento especifico denominado Ata de Registro de Preços. Neste sistema, as aquisições são feitas quando melhor convier aos órgãos que integram a Ata sem, no entanto, estarem necessariamente obrigados a contratar com os fornecedores vencedores do certame.</w:t>
      </w:r>
    </w:p>
    <w:p>
      <w:pPr>
        <w:spacing w:beforeLines="0" w:afterLines="0"/>
        <w:jc w:val="both"/>
        <w:rPr>
          <w:rFonts w:hint="default"/>
          <w:sz w:val="22"/>
          <w:szCs w:val="24"/>
        </w:rPr>
      </w:pPr>
    </w:p>
    <w:p>
      <w:pPr>
        <w:spacing w:beforeLines="0" w:afterLines="0"/>
        <w:jc w:val="both"/>
        <w:rPr>
          <w:rFonts w:hint="default"/>
          <w:b/>
          <w:sz w:val="22"/>
          <w:szCs w:val="24"/>
        </w:rPr>
      </w:pPr>
      <w:r>
        <w:rPr>
          <w:rFonts w:hint="default"/>
          <w:b/>
          <w:sz w:val="22"/>
          <w:szCs w:val="24"/>
        </w:rPr>
        <w:t>CLÁUSULA SEGUNDA – VALIDADE DO REGISTRO DE PREÇOS</w:t>
      </w:r>
    </w:p>
    <w:p>
      <w:pPr>
        <w:spacing w:beforeLines="0" w:afterLines="0"/>
        <w:jc w:val="both"/>
        <w:rPr>
          <w:rFonts w:hint="default"/>
          <w:sz w:val="22"/>
          <w:szCs w:val="24"/>
        </w:rPr>
      </w:pPr>
      <w:r>
        <w:rPr>
          <w:rFonts w:hint="default"/>
          <w:sz w:val="22"/>
          <w:szCs w:val="24"/>
        </w:rPr>
        <w:t>2.1 A Ata de Registro de Preços terá validade de até 06 (seis) meses a contar da assinatura.</w:t>
      </w:r>
    </w:p>
    <w:p>
      <w:pPr>
        <w:spacing w:beforeLines="0" w:afterLines="0"/>
        <w:jc w:val="both"/>
        <w:rPr>
          <w:rFonts w:hint="default"/>
          <w:sz w:val="22"/>
          <w:szCs w:val="24"/>
        </w:rPr>
      </w:pPr>
      <w:r>
        <w:rPr>
          <w:rFonts w:hint="default"/>
          <w:sz w:val="22"/>
          <w:szCs w:val="24"/>
        </w:rPr>
        <w:t>2.2 Nos termos do § 4º do Arrigo 15 da Lei Federal nº. 8.666/93, a existência de preços registrados não obriga a Administração a firmar as contratações que deles poderão advir, ficando-lhe facultada a utilização de outros meios, respeitada a legislação relativa às licitações, sendo assegurado ao beneficiário do registro preferência em igualdade de condições.</w:t>
      </w:r>
    </w:p>
    <w:p>
      <w:pPr>
        <w:spacing w:beforeLines="0" w:afterLines="0"/>
        <w:jc w:val="both"/>
        <w:rPr>
          <w:rFonts w:hint="default"/>
          <w:sz w:val="22"/>
          <w:szCs w:val="24"/>
        </w:rPr>
      </w:pPr>
      <w:r>
        <w:rPr>
          <w:rFonts w:hint="default"/>
          <w:sz w:val="22"/>
          <w:szCs w:val="24"/>
        </w:rPr>
        <w:t>2.3 No prazo de validade deste Registro de Preços, a Administração poderá também não solicitar a aquisição do objeto.</w:t>
      </w:r>
    </w:p>
    <w:p>
      <w:pPr>
        <w:spacing w:beforeLines="0" w:afterLines="0"/>
        <w:jc w:val="both"/>
        <w:rPr>
          <w:rFonts w:hint="default"/>
          <w:sz w:val="22"/>
          <w:szCs w:val="24"/>
        </w:rPr>
      </w:pPr>
      <w:r>
        <w:rPr>
          <w:rFonts w:hint="default"/>
          <w:sz w:val="22"/>
          <w:szCs w:val="24"/>
        </w:rPr>
        <w:t>2.4 Em cada aquisição decorrente desta Ata serão observadas, quanto ao preço, às cláusulas e condições constantes do edital do Pregão Presencial nº 17/2022, que a precedeu e integra o presente instrumento de compromisso, independente de transcrição, por ser de pleno conhecimento das partes.</w:t>
      </w:r>
    </w:p>
    <w:p>
      <w:pPr>
        <w:spacing w:beforeLines="0" w:afterLines="0"/>
        <w:jc w:val="both"/>
        <w:rPr>
          <w:rFonts w:hint="default"/>
          <w:sz w:val="22"/>
          <w:szCs w:val="24"/>
        </w:rPr>
      </w:pPr>
    </w:p>
    <w:p>
      <w:pPr>
        <w:spacing w:beforeLines="0" w:afterLines="0"/>
        <w:jc w:val="both"/>
        <w:rPr>
          <w:rFonts w:hint="default"/>
          <w:b/>
          <w:sz w:val="22"/>
          <w:szCs w:val="24"/>
        </w:rPr>
      </w:pPr>
      <w:r>
        <w:rPr>
          <w:rFonts w:hint="default"/>
          <w:b/>
          <w:sz w:val="22"/>
          <w:szCs w:val="24"/>
        </w:rPr>
        <w:t>CLÁUSULA TERCEIRA - PREÇO E CONDIÇÕES DE PAGAMENTO.</w:t>
      </w:r>
    </w:p>
    <w:p>
      <w:pPr>
        <w:spacing w:beforeLines="0" w:afterLines="0"/>
        <w:jc w:val="both"/>
        <w:rPr>
          <w:rFonts w:hint="default"/>
          <w:sz w:val="22"/>
          <w:szCs w:val="24"/>
        </w:rPr>
      </w:pPr>
      <w:r>
        <w:rPr>
          <w:rFonts w:hint="default"/>
          <w:sz w:val="22"/>
          <w:szCs w:val="24"/>
        </w:rPr>
        <w:t>3.1 Pelo fornecimento dos produtos a CONTRATANTE pagará à PROMITENTE FORNECEDORA, os valores abaixo descritos:</w:t>
      </w:r>
    </w:p>
    <w:tbl>
      <w:tblPr>
        <w:tblStyle w:val="12"/>
        <w:tblW w:w="9601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28"/>
        <w:gridCol w:w="682"/>
        <w:gridCol w:w="788"/>
        <w:gridCol w:w="4854"/>
        <w:gridCol w:w="5"/>
        <w:gridCol w:w="1392"/>
        <w:gridCol w:w="3"/>
        <w:gridCol w:w="1334"/>
        <w:gridCol w:w="14"/>
        <w:gridCol w:w="1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2"/>
          <w:wAfter w:w="15" w:type="dxa"/>
        </w:trPr>
        <w:tc>
          <w:tcPr>
            <w:tcW w:w="9586" w:type="dxa"/>
            <w:gridSpan w:val="8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left"/>
              <w:rPr>
                <w:rFonts w:hint="default" w:ascii="Calibri" w:hAnsi="Calibri" w:eastAsia="Times New Roman" w:cs="Calibri"/>
                <w:b/>
                <w:sz w:val="20"/>
                <w:szCs w:val="24"/>
              </w:rPr>
            </w:pPr>
            <w:r>
              <w:rPr>
                <w:rFonts w:hint="default" w:ascii="Calibri" w:hAnsi="Calibri" w:eastAsia="Times New Roman" w:cs="Calibri"/>
                <w:b/>
                <w:sz w:val="20"/>
                <w:szCs w:val="24"/>
              </w:rPr>
              <w:t xml:space="preserve">Empresa: </w:t>
            </w:r>
            <w:r>
              <w:rPr>
                <w:rFonts w:hint="default" w:ascii="Calibri" w:hAnsi="Calibri" w:eastAsia="Times New Roman" w:cs="Calibri"/>
                <w:b/>
                <w:sz w:val="20"/>
                <w:szCs w:val="24"/>
              </w:rPr>
              <w:fldChar w:fldCharType="begin"/>
            </w:r>
            <w:r>
              <w:rPr>
                <w:rFonts w:hint="default" w:ascii="Calibri" w:hAnsi="Calibri" w:eastAsia="Times New Roman" w:cs="Calibri"/>
                <w:b/>
                <w:sz w:val="20"/>
                <w:szCs w:val="24"/>
              </w:rPr>
              <w:instrText xml:space="preserve">MERGEFIELD EMPRESAS_COM_ITENS_VENCEDORES.NOME_PES</w:instrText>
            </w:r>
            <w:r>
              <w:rPr>
                <w:rFonts w:hint="default" w:ascii="Calibri" w:hAnsi="Calibri" w:eastAsia="Times New Roman" w:cs="Calibri"/>
                <w:b/>
                <w:sz w:val="20"/>
                <w:szCs w:val="24"/>
              </w:rPr>
              <w:fldChar w:fldCharType="separate"/>
            </w:r>
            <w:r>
              <w:rPr>
                <w:rFonts w:hint="default" w:ascii="Calibri" w:hAnsi="Calibri" w:eastAsia="Times New Roman" w:cs="Calibri"/>
                <w:b/>
                <w:sz w:val="20"/>
                <w:szCs w:val="24"/>
              </w:rPr>
              <w:t>BRITAGEM E ENGENHARIA BASSO MC LTDA ME</w:t>
            </w:r>
            <w:r>
              <w:rPr>
                <w:rFonts w:hint="default" w:ascii="Calibri" w:hAnsi="Calibri" w:eastAsia="Times New Roman" w:cs="Calibri"/>
                <w:b/>
                <w:sz w:val="20"/>
                <w:szCs w:val="24"/>
              </w:rPr>
              <w:fldChar w:fldCharType="end"/>
            </w:r>
            <w:r>
              <w:rPr>
                <w:rFonts w:hint="default" w:ascii="Calibri" w:hAnsi="Calibri" w:eastAsia="Times New Roman" w:cs="Calibri"/>
                <w:b/>
                <w:sz w:val="20"/>
                <w:szCs w:val="24"/>
              </w:rPr>
              <w:t xml:space="preserve"> - </w:t>
            </w:r>
            <w:r>
              <w:rPr>
                <w:rFonts w:hint="default" w:ascii="Calibri" w:hAnsi="Calibri" w:eastAsia="Times New Roman" w:cs="Calibri"/>
                <w:b/>
                <w:sz w:val="20"/>
                <w:szCs w:val="24"/>
              </w:rPr>
              <w:fldChar w:fldCharType="begin"/>
            </w:r>
            <w:r>
              <w:rPr>
                <w:rFonts w:hint="default" w:ascii="Calibri" w:hAnsi="Calibri" w:eastAsia="Times New Roman" w:cs="Calibri"/>
                <w:b/>
                <w:sz w:val="20"/>
                <w:szCs w:val="24"/>
              </w:rPr>
              <w:instrText xml:space="preserve">MERGEFIELD EMPRESAS_COM_ITENS_VENCEDORES.COD_PES</w:instrText>
            </w:r>
            <w:r>
              <w:rPr>
                <w:rFonts w:hint="default" w:ascii="Calibri" w:hAnsi="Calibri" w:eastAsia="Times New Roman" w:cs="Calibri"/>
                <w:b/>
                <w:sz w:val="20"/>
                <w:szCs w:val="24"/>
              </w:rPr>
              <w:fldChar w:fldCharType="separate"/>
            </w:r>
            <w:r>
              <w:rPr>
                <w:rFonts w:hint="default" w:ascii="Calibri" w:hAnsi="Calibri" w:eastAsia="Times New Roman" w:cs="Calibri"/>
                <w:b/>
                <w:sz w:val="20"/>
                <w:szCs w:val="24"/>
              </w:rPr>
              <w:t>9767</w:t>
            </w:r>
            <w:r>
              <w:rPr>
                <w:rFonts w:hint="default" w:ascii="Calibri" w:hAnsi="Calibri" w:eastAsia="Times New Roman" w:cs="Calibri"/>
                <w:b/>
                <w:sz w:val="20"/>
                <w:szCs w:val="24"/>
              </w:rPr>
              <w:fldChar w:fldCharType="end"/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1" w:type="dxa"/>
          <w:tblHeader/>
        </w:trPr>
        <w:tc>
          <w:tcPr>
            <w:tcW w:w="5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right"/>
              <w:rPr>
                <w:rFonts w:hint="default" w:ascii="Calibri" w:hAnsi="Calibri" w:eastAsia="Times New Roman" w:cs="Calibri"/>
                <w:b/>
                <w:sz w:val="20"/>
                <w:szCs w:val="24"/>
              </w:rPr>
            </w:pPr>
            <w:r>
              <w:rPr>
                <w:rFonts w:hint="default" w:ascii="Calibri" w:hAnsi="Calibri" w:eastAsia="Times New Roman" w:cs="Calibri"/>
                <w:b/>
                <w:sz w:val="20"/>
                <w:szCs w:val="24"/>
              </w:rPr>
              <w:t>Item</w:t>
            </w:r>
          </w:p>
        </w:tc>
        <w:tc>
          <w:tcPr>
            <w:tcW w:w="6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right"/>
              <w:rPr>
                <w:rFonts w:hint="default" w:ascii="Calibri" w:hAnsi="Calibri" w:eastAsia="Times New Roman" w:cs="Calibri"/>
                <w:b/>
                <w:sz w:val="20"/>
                <w:szCs w:val="24"/>
              </w:rPr>
            </w:pPr>
            <w:r>
              <w:rPr>
                <w:rFonts w:hint="default" w:ascii="Calibri" w:hAnsi="Calibri" w:eastAsia="Times New Roman" w:cs="Calibri"/>
                <w:b/>
                <w:sz w:val="20"/>
                <w:szCs w:val="24"/>
              </w:rPr>
              <w:t>Quant</w:t>
            </w:r>
          </w:p>
        </w:tc>
        <w:tc>
          <w:tcPr>
            <w:tcW w:w="7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default" w:ascii="Calibri" w:hAnsi="Calibri" w:eastAsia="Times New Roman" w:cs="Calibri"/>
                <w:b/>
                <w:sz w:val="20"/>
                <w:szCs w:val="24"/>
              </w:rPr>
            </w:pPr>
            <w:r>
              <w:rPr>
                <w:rFonts w:hint="default" w:ascii="Calibri" w:hAnsi="Calibri" w:eastAsia="Times New Roman" w:cs="Calibri"/>
                <w:b/>
                <w:sz w:val="20"/>
                <w:szCs w:val="24"/>
              </w:rPr>
              <w:t>Unid.</w:t>
            </w:r>
          </w:p>
        </w:tc>
        <w:tc>
          <w:tcPr>
            <w:tcW w:w="485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left"/>
              <w:rPr>
                <w:rFonts w:hint="default" w:ascii="Calibri" w:hAnsi="Calibri" w:eastAsia="Times New Roman" w:cs="Calibri"/>
                <w:b/>
                <w:sz w:val="20"/>
                <w:szCs w:val="24"/>
              </w:rPr>
            </w:pPr>
            <w:r>
              <w:rPr>
                <w:rFonts w:hint="default" w:ascii="Calibri" w:hAnsi="Calibri" w:eastAsia="Times New Roman" w:cs="Calibri"/>
                <w:b/>
                <w:sz w:val="20"/>
                <w:szCs w:val="24"/>
              </w:rPr>
              <w:t>Produto</w:t>
            </w:r>
          </w:p>
        </w:tc>
        <w:tc>
          <w:tcPr>
            <w:tcW w:w="13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right"/>
              <w:rPr>
                <w:rFonts w:hint="default" w:ascii="Calibri" w:hAnsi="Calibri" w:eastAsia="Times New Roman" w:cs="Calibri"/>
                <w:b/>
                <w:sz w:val="20"/>
                <w:szCs w:val="24"/>
              </w:rPr>
            </w:pPr>
            <w:r>
              <w:rPr>
                <w:rFonts w:hint="default" w:ascii="Calibri" w:hAnsi="Calibri" w:eastAsia="Times New Roman" w:cs="Calibri"/>
                <w:b/>
                <w:sz w:val="20"/>
                <w:szCs w:val="24"/>
              </w:rPr>
              <w:t>Valor Unit.</w:t>
            </w:r>
          </w:p>
        </w:tc>
        <w:tc>
          <w:tcPr>
            <w:tcW w:w="135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right"/>
              <w:rPr>
                <w:rFonts w:hint="default" w:ascii="Calibri" w:hAnsi="Calibri" w:eastAsia="Times New Roman" w:cs="Calibri"/>
                <w:b/>
                <w:sz w:val="20"/>
                <w:szCs w:val="24"/>
              </w:rPr>
            </w:pPr>
            <w:r>
              <w:rPr>
                <w:rFonts w:hint="default" w:ascii="Calibri" w:hAnsi="Calibri" w:eastAsia="Times New Roman" w:cs="Calibri"/>
                <w:b/>
                <w:sz w:val="20"/>
                <w:szCs w:val="24"/>
              </w:rPr>
              <w:t>Valor Total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1" w:type="dxa"/>
        </w:trPr>
        <w:tc>
          <w:tcPr>
            <w:tcW w:w="5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right"/>
              <w:rPr>
                <w:rFonts w:hint="default" w:ascii="Calibri" w:hAnsi="Calibri" w:eastAsia="Times New Roman" w:cs="Calibri"/>
                <w:sz w:val="20"/>
                <w:szCs w:val="24"/>
              </w:rPr>
            </w:pPr>
            <w:r>
              <w:rPr>
                <w:rFonts w:hint="default" w:ascii="Calibri" w:hAnsi="Calibri" w:eastAsia="Times New Roman" w:cs="Calibri"/>
                <w:sz w:val="20"/>
                <w:szCs w:val="24"/>
              </w:rPr>
              <w:fldChar w:fldCharType="begin"/>
            </w:r>
            <w:r>
              <w:rPr>
                <w:rFonts w:hint="default" w:ascii="Calibri" w:hAnsi="Calibri" w:eastAsia="Times New Roman" w:cs="Calibri"/>
                <w:sz w:val="20"/>
                <w:szCs w:val="24"/>
              </w:rPr>
              <w:instrText xml:space="preserve">MERGEFIELD ITENS_VENCEDORES.ID_ITEM</w:instrText>
            </w:r>
            <w:r>
              <w:rPr>
                <w:rFonts w:hint="default" w:ascii="Calibri" w:hAnsi="Calibri" w:eastAsia="Times New Roman" w:cs="Calibri"/>
                <w:sz w:val="20"/>
                <w:szCs w:val="24"/>
              </w:rPr>
              <w:fldChar w:fldCharType="separate"/>
            </w:r>
            <w:r>
              <w:rPr>
                <w:rFonts w:hint="default" w:ascii="Calibri" w:hAnsi="Calibri" w:eastAsia="Times New Roman" w:cs="Calibri"/>
                <w:sz w:val="20"/>
                <w:szCs w:val="24"/>
              </w:rPr>
              <w:t>1</w:t>
            </w:r>
            <w:r>
              <w:rPr>
                <w:rFonts w:hint="default" w:ascii="Calibri" w:hAnsi="Calibri" w:eastAsia="Times New Roman" w:cs="Calibri"/>
                <w:sz w:val="20"/>
                <w:szCs w:val="24"/>
              </w:rPr>
              <w:fldChar w:fldCharType="end"/>
            </w:r>
          </w:p>
        </w:tc>
        <w:tc>
          <w:tcPr>
            <w:tcW w:w="6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right"/>
              <w:rPr>
                <w:rFonts w:hint="default" w:ascii="Calibri" w:hAnsi="Calibri" w:eastAsia="Times New Roman" w:cs="Calibri"/>
                <w:sz w:val="20"/>
                <w:szCs w:val="24"/>
              </w:rPr>
            </w:pPr>
            <w:r>
              <w:rPr>
                <w:rFonts w:hint="default" w:ascii="Calibri" w:hAnsi="Calibri" w:eastAsia="Times New Roman" w:cs="Calibri"/>
                <w:sz w:val="20"/>
                <w:szCs w:val="24"/>
              </w:rPr>
              <w:fldChar w:fldCharType="begin"/>
            </w:r>
            <w:r>
              <w:rPr>
                <w:rFonts w:hint="default" w:ascii="Calibri" w:hAnsi="Calibri" w:eastAsia="Times New Roman" w:cs="Calibri"/>
                <w:sz w:val="20"/>
                <w:szCs w:val="24"/>
              </w:rPr>
              <w:instrText xml:space="preserve">MERGEFIELD ITENS_VENCEDORES.QTDITEM_ILIC</w:instrText>
            </w:r>
            <w:r>
              <w:rPr>
                <w:rFonts w:hint="default" w:ascii="Calibri" w:hAnsi="Calibri" w:eastAsia="Times New Roman" w:cs="Calibri"/>
                <w:sz w:val="20"/>
                <w:szCs w:val="24"/>
              </w:rPr>
              <w:fldChar w:fldCharType="separate"/>
            </w:r>
            <w:r>
              <w:rPr>
                <w:rFonts w:hint="default" w:ascii="Calibri" w:hAnsi="Calibri" w:eastAsia="Times New Roman" w:cs="Calibri"/>
                <w:sz w:val="20"/>
                <w:szCs w:val="24"/>
              </w:rPr>
              <w:t>1</w:t>
            </w:r>
            <w:r>
              <w:rPr>
                <w:rFonts w:hint="default" w:ascii="Calibri" w:hAnsi="Calibri" w:eastAsia="Times New Roman" w:cs="Calibri"/>
                <w:sz w:val="20"/>
                <w:szCs w:val="24"/>
              </w:rPr>
              <w:fldChar w:fldCharType="end"/>
            </w:r>
          </w:p>
        </w:tc>
        <w:tc>
          <w:tcPr>
            <w:tcW w:w="7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default" w:ascii="Calibri" w:hAnsi="Calibri" w:eastAsia="Times New Roman" w:cs="Calibri"/>
                <w:sz w:val="20"/>
                <w:szCs w:val="24"/>
              </w:rPr>
            </w:pPr>
            <w:r>
              <w:rPr>
                <w:rFonts w:hint="default" w:ascii="Calibri" w:hAnsi="Calibri" w:eastAsia="Times New Roman" w:cs="Calibri"/>
                <w:sz w:val="20"/>
                <w:szCs w:val="24"/>
              </w:rPr>
              <w:fldChar w:fldCharType="begin"/>
            </w:r>
            <w:r>
              <w:rPr>
                <w:rFonts w:hint="default" w:ascii="Calibri" w:hAnsi="Calibri" w:eastAsia="Times New Roman" w:cs="Calibri"/>
                <w:sz w:val="20"/>
                <w:szCs w:val="24"/>
              </w:rPr>
              <w:instrText xml:space="preserve">MERGEFIELD ITENS_VENCEDORES.SIGLA_UND</w:instrText>
            </w:r>
            <w:r>
              <w:rPr>
                <w:rFonts w:hint="default" w:ascii="Calibri" w:hAnsi="Calibri" w:eastAsia="Times New Roman" w:cs="Calibri"/>
                <w:sz w:val="20"/>
                <w:szCs w:val="24"/>
              </w:rPr>
              <w:fldChar w:fldCharType="separate"/>
            </w:r>
            <w:r>
              <w:rPr>
                <w:rFonts w:hint="default" w:ascii="Calibri" w:hAnsi="Calibri" w:eastAsia="Times New Roman" w:cs="Calibri"/>
                <w:sz w:val="20"/>
                <w:szCs w:val="24"/>
              </w:rPr>
              <w:t>UN</w:t>
            </w:r>
            <w:r>
              <w:rPr>
                <w:rFonts w:hint="default" w:ascii="Calibri" w:hAnsi="Calibri" w:eastAsia="Times New Roman" w:cs="Calibri"/>
                <w:sz w:val="20"/>
                <w:szCs w:val="24"/>
              </w:rPr>
              <w:fldChar w:fldCharType="end"/>
            </w:r>
          </w:p>
        </w:tc>
        <w:tc>
          <w:tcPr>
            <w:tcW w:w="485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left"/>
              <w:rPr>
                <w:rFonts w:hint="default" w:ascii="Calibri" w:hAnsi="Calibri" w:eastAsia="Times New Roman" w:cs="Calibri"/>
                <w:sz w:val="20"/>
                <w:szCs w:val="24"/>
              </w:rPr>
            </w:pPr>
            <w:r>
              <w:rPr>
                <w:rFonts w:hint="default" w:ascii="Calibri" w:hAnsi="Calibri" w:eastAsia="Times New Roman" w:cs="Calibri"/>
                <w:sz w:val="20"/>
                <w:szCs w:val="24"/>
              </w:rPr>
              <w:fldChar w:fldCharType="begin"/>
            </w:r>
            <w:r>
              <w:rPr>
                <w:rFonts w:hint="default" w:ascii="Calibri" w:hAnsi="Calibri" w:eastAsia="Times New Roman" w:cs="Calibri"/>
                <w:sz w:val="20"/>
                <w:szCs w:val="24"/>
              </w:rPr>
              <w:instrText xml:space="preserve">MERGEFIELD ITENS_VENCEDORES.DESCITEM_ILIC</w:instrText>
            </w:r>
            <w:r>
              <w:rPr>
                <w:rFonts w:hint="default" w:ascii="Calibri" w:hAnsi="Calibri" w:eastAsia="Times New Roman" w:cs="Calibri"/>
                <w:sz w:val="20"/>
                <w:szCs w:val="24"/>
              </w:rPr>
              <w:fldChar w:fldCharType="separate"/>
            </w:r>
            <w:r>
              <w:rPr>
                <w:rFonts w:hint="default" w:ascii="Calibri" w:hAnsi="Calibri" w:eastAsia="Times New Roman" w:cs="Calibri"/>
                <w:sz w:val="20"/>
                <w:szCs w:val="24"/>
              </w:rPr>
              <w:t>Telha 420 mm.</w:t>
            </w:r>
            <w:r>
              <w:rPr>
                <w:rFonts w:hint="default" w:ascii="Calibri" w:hAnsi="Calibri" w:eastAsia="Times New Roman" w:cs="Calibri"/>
                <w:sz w:val="20"/>
                <w:szCs w:val="24"/>
              </w:rPr>
              <w:fldChar w:fldCharType="end"/>
            </w:r>
          </w:p>
        </w:tc>
        <w:tc>
          <w:tcPr>
            <w:tcW w:w="13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right"/>
              <w:rPr>
                <w:rFonts w:hint="default" w:ascii="Calibri" w:hAnsi="Calibri" w:eastAsia="Times New Roman" w:cs="Calibri"/>
                <w:sz w:val="20"/>
                <w:szCs w:val="24"/>
              </w:rPr>
            </w:pPr>
            <w:r>
              <w:rPr>
                <w:rFonts w:hint="default" w:ascii="Calibri" w:hAnsi="Calibri" w:eastAsia="Times New Roman" w:cs="Calibri"/>
                <w:sz w:val="20"/>
                <w:szCs w:val="24"/>
              </w:rPr>
              <w:fldChar w:fldCharType="begin"/>
            </w:r>
            <w:r>
              <w:rPr>
                <w:rFonts w:hint="default" w:ascii="Calibri" w:hAnsi="Calibri" w:eastAsia="Times New Roman" w:cs="Calibri"/>
                <w:sz w:val="20"/>
                <w:szCs w:val="24"/>
              </w:rPr>
              <w:instrText xml:space="preserve">MERGEFIELD ITENS_VENCEDORES.VLRUNIT_RLIC</w:instrText>
            </w:r>
            <w:r>
              <w:rPr>
                <w:rFonts w:hint="default" w:ascii="Calibri" w:hAnsi="Calibri" w:eastAsia="Times New Roman" w:cs="Calibri"/>
                <w:sz w:val="20"/>
                <w:szCs w:val="24"/>
              </w:rPr>
              <w:fldChar w:fldCharType="separate"/>
            </w:r>
            <w:r>
              <w:rPr>
                <w:rFonts w:hint="default" w:ascii="Calibri" w:hAnsi="Calibri" w:eastAsia="Times New Roman" w:cs="Calibri"/>
                <w:sz w:val="20"/>
                <w:szCs w:val="24"/>
              </w:rPr>
              <w:t>1.310,00</w:t>
            </w:r>
            <w:r>
              <w:rPr>
                <w:rFonts w:hint="default" w:ascii="Calibri" w:hAnsi="Calibri" w:eastAsia="Times New Roman" w:cs="Calibri"/>
                <w:sz w:val="20"/>
                <w:szCs w:val="24"/>
              </w:rPr>
              <w:fldChar w:fldCharType="end"/>
            </w:r>
          </w:p>
        </w:tc>
        <w:tc>
          <w:tcPr>
            <w:tcW w:w="135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right"/>
              <w:rPr>
                <w:rFonts w:hint="default" w:ascii="Calibri" w:hAnsi="Calibri" w:eastAsia="Times New Roman" w:cs="Calibri"/>
                <w:sz w:val="20"/>
                <w:szCs w:val="24"/>
              </w:rPr>
            </w:pPr>
            <w:r>
              <w:rPr>
                <w:rFonts w:hint="default" w:ascii="Calibri" w:hAnsi="Calibri" w:eastAsia="Times New Roman" w:cs="Calibri"/>
                <w:sz w:val="20"/>
                <w:szCs w:val="24"/>
              </w:rPr>
              <w:fldChar w:fldCharType="begin"/>
            </w:r>
            <w:r>
              <w:rPr>
                <w:rFonts w:hint="default" w:ascii="Calibri" w:hAnsi="Calibri" w:eastAsia="Times New Roman" w:cs="Calibri"/>
                <w:sz w:val="20"/>
                <w:szCs w:val="24"/>
              </w:rPr>
              <w:instrText xml:space="preserve">MERGEFIELD ITENS_VENCEDORES.VLRTOTAL</w:instrText>
            </w:r>
            <w:r>
              <w:rPr>
                <w:rFonts w:hint="default" w:ascii="Calibri" w:hAnsi="Calibri" w:eastAsia="Times New Roman" w:cs="Calibri"/>
                <w:sz w:val="20"/>
                <w:szCs w:val="24"/>
              </w:rPr>
              <w:fldChar w:fldCharType="separate"/>
            </w:r>
            <w:r>
              <w:rPr>
                <w:rFonts w:hint="default" w:ascii="Calibri" w:hAnsi="Calibri" w:eastAsia="Times New Roman" w:cs="Calibri"/>
                <w:sz w:val="20"/>
                <w:szCs w:val="24"/>
              </w:rPr>
              <w:t>1.310,00</w:t>
            </w:r>
            <w:r>
              <w:rPr>
                <w:rFonts w:hint="default" w:ascii="Calibri" w:hAnsi="Calibri" w:eastAsia="Times New Roman" w:cs="Calibri"/>
                <w:sz w:val="20"/>
                <w:szCs w:val="24"/>
              </w:rPr>
              <w:fldChar w:fldCharType="end"/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1" w:type="dxa"/>
        </w:trPr>
        <w:tc>
          <w:tcPr>
            <w:tcW w:w="5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right"/>
              <w:rPr>
                <w:rFonts w:hint="default" w:ascii="Calibri" w:hAnsi="Calibri" w:eastAsia="Times New Roman" w:cs="Calibri"/>
                <w:sz w:val="20"/>
                <w:szCs w:val="24"/>
              </w:rPr>
            </w:pPr>
            <w:r>
              <w:rPr>
                <w:rFonts w:hint="default" w:ascii="Calibri" w:hAnsi="Calibri" w:eastAsia="Times New Roman" w:cs="Calibri"/>
                <w:sz w:val="20"/>
                <w:szCs w:val="24"/>
              </w:rPr>
              <w:fldChar w:fldCharType="begin"/>
            </w:r>
            <w:r>
              <w:rPr>
                <w:rFonts w:hint="default" w:ascii="Calibri" w:hAnsi="Calibri" w:eastAsia="Times New Roman" w:cs="Calibri"/>
                <w:sz w:val="20"/>
                <w:szCs w:val="24"/>
              </w:rPr>
              <w:instrText xml:space="preserve">MERGEFIELD ITENS_VENCEDORES.ID_ITEM</w:instrText>
            </w:r>
            <w:r>
              <w:rPr>
                <w:rFonts w:hint="default" w:ascii="Calibri" w:hAnsi="Calibri" w:eastAsia="Times New Roman" w:cs="Calibri"/>
                <w:sz w:val="20"/>
                <w:szCs w:val="24"/>
              </w:rPr>
              <w:fldChar w:fldCharType="separate"/>
            </w:r>
            <w:r>
              <w:rPr>
                <w:rFonts w:hint="default" w:ascii="Calibri" w:hAnsi="Calibri" w:eastAsia="Times New Roman" w:cs="Calibri"/>
                <w:sz w:val="20"/>
                <w:szCs w:val="24"/>
              </w:rPr>
              <w:t>2</w:t>
            </w:r>
            <w:r>
              <w:rPr>
                <w:rFonts w:hint="default" w:ascii="Calibri" w:hAnsi="Calibri" w:eastAsia="Times New Roman" w:cs="Calibri"/>
                <w:sz w:val="20"/>
                <w:szCs w:val="24"/>
              </w:rPr>
              <w:fldChar w:fldCharType="end"/>
            </w:r>
          </w:p>
        </w:tc>
        <w:tc>
          <w:tcPr>
            <w:tcW w:w="6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right"/>
              <w:rPr>
                <w:rFonts w:hint="default" w:ascii="Calibri" w:hAnsi="Calibri" w:eastAsia="Times New Roman" w:cs="Calibri"/>
                <w:sz w:val="20"/>
                <w:szCs w:val="24"/>
              </w:rPr>
            </w:pPr>
            <w:r>
              <w:rPr>
                <w:rFonts w:hint="default" w:ascii="Calibri" w:hAnsi="Calibri" w:eastAsia="Times New Roman" w:cs="Calibri"/>
                <w:sz w:val="20"/>
                <w:szCs w:val="24"/>
              </w:rPr>
              <w:fldChar w:fldCharType="begin"/>
            </w:r>
            <w:r>
              <w:rPr>
                <w:rFonts w:hint="default" w:ascii="Calibri" w:hAnsi="Calibri" w:eastAsia="Times New Roman" w:cs="Calibri"/>
                <w:sz w:val="20"/>
                <w:szCs w:val="24"/>
              </w:rPr>
              <w:instrText xml:space="preserve">MERGEFIELD ITENS_VENCEDORES.QTDITEM_ILIC</w:instrText>
            </w:r>
            <w:r>
              <w:rPr>
                <w:rFonts w:hint="default" w:ascii="Calibri" w:hAnsi="Calibri" w:eastAsia="Times New Roman" w:cs="Calibri"/>
                <w:sz w:val="20"/>
                <w:szCs w:val="24"/>
              </w:rPr>
              <w:fldChar w:fldCharType="separate"/>
            </w:r>
            <w:r>
              <w:rPr>
                <w:rFonts w:hint="default" w:ascii="Calibri" w:hAnsi="Calibri" w:eastAsia="Times New Roman" w:cs="Calibri"/>
                <w:sz w:val="20"/>
                <w:szCs w:val="24"/>
              </w:rPr>
              <w:t>2</w:t>
            </w:r>
            <w:r>
              <w:rPr>
                <w:rFonts w:hint="default" w:ascii="Calibri" w:hAnsi="Calibri" w:eastAsia="Times New Roman" w:cs="Calibri"/>
                <w:sz w:val="20"/>
                <w:szCs w:val="24"/>
              </w:rPr>
              <w:fldChar w:fldCharType="end"/>
            </w:r>
          </w:p>
        </w:tc>
        <w:tc>
          <w:tcPr>
            <w:tcW w:w="7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default" w:ascii="Calibri" w:hAnsi="Calibri" w:eastAsia="Times New Roman" w:cs="Calibri"/>
                <w:sz w:val="20"/>
                <w:szCs w:val="24"/>
              </w:rPr>
            </w:pPr>
            <w:r>
              <w:rPr>
                <w:rFonts w:hint="default" w:ascii="Calibri" w:hAnsi="Calibri" w:eastAsia="Times New Roman" w:cs="Calibri"/>
                <w:sz w:val="20"/>
                <w:szCs w:val="24"/>
              </w:rPr>
              <w:fldChar w:fldCharType="begin"/>
            </w:r>
            <w:r>
              <w:rPr>
                <w:rFonts w:hint="default" w:ascii="Calibri" w:hAnsi="Calibri" w:eastAsia="Times New Roman" w:cs="Calibri"/>
                <w:sz w:val="20"/>
                <w:szCs w:val="24"/>
              </w:rPr>
              <w:instrText xml:space="preserve">MERGEFIELD ITENS_VENCEDORES.SIGLA_UND</w:instrText>
            </w:r>
            <w:r>
              <w:rPr>
                <w:rFonts w:hint="default" w:ascii="Calibri" w:hAnsi="Calibri" w:eastAsia="Times New Roman" w:cs="Calibri"/>
                <w:sz w:val="20"/>
                <w:szCs w:val="24"/>
              </w:rPr>
              <w:fldChar w:fldCharType="separate"/>
            </w:r>
            <w:r>
              <w:rPr>
                <w:rFonts w:hint="default" w:ascii="Calibri" w:hAnsi="Calibri" w:eastAsia="Times New Roman" w:cs="Calibri"/>
                <w:sz w:val="20"/>
                <w:szCs w:val="24"/>
              </w:rPr>
              <w:t>UN</w:t>
            </w:r>
            <w:r>
              <w:rPr>
                <w:rFonts w:hint="default" w:ascii="Calibri" w:hAnsi="Calibri" w:eastAsia="Times New Roman" w:cs="Calibri"/>
                <w:sz w:val="20"/>
                <w:szCs w:val="24"/>
              </w:rPr>
              <w:fldChar w:fldCharType="end"/>
            </w:r>
          </w:p>
        </w:tc>
        <w:tc>
          <w:tcPr>
            <w:tcW w:w="485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left"/>
              <w:rPr>
                <w:rFonts w:hint="default" w:ascii="Calibri" w:hAnsi="Calibri" w:eastAsia="Times New Roman" w:cs="Calibri"/>
                <w:sz w:val="20"/>
                <w:szCs w:val="24"/>
              </w:rPr>
            </w:pPr>
            <w:r>
              <w:rPr>
                <w:rFonts w:hint="default" w:ascii="Calibri" w:hAnsi="Calibri" w:eastAsia="Times New Roman" w:cs="Calibri"/>
                <w:sz w:val="20"/>
                <w:szCs w:val="24"/>
              </w:rPr>
              <w:fldChar w:fldCharType="begin"/>
            </w:r>
            <w:r>
              <w:rPr>
                <w:rFonts w:hint="default" w:ascii="Calibri" w:hAnsi="Calibri" w:eastAsia="Times New Roman" w:cs="Calibri"/>
                <w:sz w:val="20"/>
                <w:szCs w:val="24"/>
              </w:rPr>
              <w:instrText xml:space="preserve">MERGEFIELD ITENS_VENCEDORES.DESCITEM_ILIC</w:instrText>
            </w:r>
            <w:r>
              <w:rPr>
                <w:rFonts w:hint="default" w:ascii="Calibri" w:hAnsi="Calibri" w:eastAsia="Times New Roman" w:cs="Calibri"/>
                <w:sz w:val="20"/>
                <w:szCs w:val="24"/>
              </w:rPr>
              <w:fldChar w:fldCharType="separate"/>
            </w:r>
            <w:r>
              <w:rPr>
                <w:rFonts w:hint="default" w:ascii="Calibri" w:hAnsi="Calibri" w:eastAsia="Times New Roman" w:cs="Calibri"/>
                <w:sz w:val="20"/>
                <w:szCs w:val="24"/>
              </w:rPr>
              <w:t>Mandíbula móvel 11 dentes.</w:t>
            </w:r>
            <w:r>
              <w:rPr>
                <w:rFonts w:hint="default" w:ascii="Calibri" w:hAnsi="Calibri" w:eastAsia="Times New Roman" w:cs="Calibri"/>
                <w:sz w:val="20"/>
                <w:szCs w:val="24"/>
              </w:rPr>
              <w:fldChar w:fldCharType="end"/>
            </w:r>
          </w:p>
        </w:tc>
        <w:tc>
          <w:tcPr>
            <w:tcW w:w="13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right"/>
              <w:rPr>
                <w:rFonts w:hint="default" w:ascii="Calibri" w:hAnsi="Calibri" w:eastAsia="Times New Roman" w:cs="Calibri"/>
                <w:sz w:val="20"/>
                <w:szCs w:val="24"/>
              </w:rPr>
            </w:pPr>
            <w:r>
              <w:rPr>
                <w:rFonts w:hint="default" w:ascii="Calibri" w:hAnsi="Calibri" w:eastAsia="Times New Roman" w:cs="Calibri"/>
                <w:sz w:val="20"/>
                <w:szCs w:val="24"/>
              </w:rPr>
              <w:fldChar w:fldCharType="begin"/>
            </w:r>
            <w:r>
              <w:rPr>
                <w:rFonts w:hint="default" w:ascii="Calibri" w:hAnsi="Calibri" w:eastAsia="Times New Roman" w:cs="Calibri"/>
                <w:sz w:val="20"/>
                <w:szCs w:val="24"/>
              </w:rPr>
              <w:instrText xml:space="preserve">MERGEFIELD ITENS_VENCEDORES.VLRUNIT_RLIC</w:instrText>
            </w:r>
            <w:r>
              <w:rPr>
                <w:rFonts w:hint="default" w:ascii="Calibri" w:hAnsi="Calibri" w:eastAsia="Times New Roman" w:cs="Calibri"/>
                <w:sz w:val="20"/>
                <w:szCs w:val="24"/>
              </w:rPr>
              <w:fldChar w:fldCharType="separate"/>
            </w:r>
            <w:r>
              <w:rPr>
                <w:rFonts w:hint="default" w:ascii="Calibri" w:hAnsi="Calibri" w:eastAsia="Times New Roman" w:cs="Calibri"/>
                <w:sz w:val="20"/>
                <w:szCs w:val="24"/>
              </w:rPr>
              <w:t>3.470,00000</w:t>
            </w:r>
            <w:r>
              <w:rPr>
                <w:rFonts w:hint="default" w:ascii="Calibri" w:hAnsi="Calibri" w:eastAsia="Times New Roman" w:cs="Calibri"/>
                <w:sz w:val="20"/>
                <w:szCs w:val="24"/>
              </w:rPr>
              <w:fldChar w:fldCharType="end"/>
            </w:r>
          </w:p>
        </w:tc>
        <w:tc>
          <w:tcPr>
            <w:tcW w:w="135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right"/>
              <w:rPr>
                <w:rFonts w:hint="default" w:ascii="Calibri" w:hAnsi="Calibri" w:eastAsia="Times New Roman" w:cs="Calibri"/>
                <w:sz w:val="20"/>
                <w:szCs w:val="24"/>
              </w:rPr>
            </w:pPr>
            <w:r>
              <w:rPr>
                <w:rFonts w:hint="default" w:ascii="Calibri" w:hAnsi="Calibri" w:eastAsia="Times New Roman" w:cs="Calibri"/>
                <w:sz w:val="20"/>
                <w:szCs w:val="24"/>
              </w:rPr>
              <w:fldChar w:fldCharType="begin"/>
            </w:r>
            <w:r>
              <w:rPr>
                <w:rFonts w:hint="default" w:ascii="Calibri" w:hAnsi="Calibri" w:eastAsia="Times New Roman" w:cs="Calibri"/>
                <w:sz w:val="20"/>
                <w:szCs w:val="24"/>
              </w:rPr>
              <w:instrText xml:space="preserve">MERGEFIELD ITENS_VENCEDORES.VLRTOTAL</w:instrText>
            </w:r>
            <w:r>
              <w:rPr>
                <w:rFonts w:hint="default" w:ascii="Calibri" w:hAnsi="Calibri" w:eastAsia="Times New Roman" w:cs="Calibri"/>
                <w:sz w:val="20"/>
                <w:szCs w:val="24"/>
              </w:rPr>
              <w:fldChar w:fldCharType="separate"/>
            </w:r>
            <w:r>
              <w:rPr>
                <w:rFonts w:hint="default" w:ascii="Calibri" w:hAnsi="Calibri" w:eastAsia="Times New Roman" w:cs="Calibri"/>
                <w:sz w:val="20"/>
                <w:szCs w:val="24"/>
              </w:rPr>
              <w:t>6.940,00</w:t>
            </w:r>
            <w:r>
              <w:rPr>
                <w:rFonts w:hint="default" w:ascii="Calibri" w:hAnsi="Calibri" w:eastAsia="Times New Roman" w:cs="Calibri"/>
                <w:sz w:val="20"/>
                <w:szCs w:val="24"/>
              </w:rPr>
              <w:fldChar w:fldCharType="end"/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1" w:type="dxa"/>
        </w:trPr>
        <w:tc>
          <w:tcPr>
            <w:tcW w:w="5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right"/>
              <w:rPr>
                <w:rFonts w:hint="default" w:ascii="Calibri" w:hAnsi="Calibri" w:eastAsia="Times New Roman" w:cs="Calibri"/>
                <w:sz w:val="20"/>
                <w:szCs w:val="24"/>
              </w:rPr>
            </w:pPr>
            <w:r>
              <w:rPr>
                <w:rFonts w:hint="default" w:ascii="Calibri" w:hAnsi="Calibri" w:eastAsia="Times New Roman" w:cs="Calibri"/>
                <w:sz w:val="20"/>
                <w:szCs w:val="24"/>
              </w:rPr>
              <w:fldChar w:fldCharType="begin"/>
            </w:r>
            <w:r>
              <w:rPr>
                <w:rFonts w:hint="default" w:ascii="Calibri" w:hAnsi="Calibri" w:eastAsia="Times New Roman" w:cs="Calibri"/>
                <w:sz w:val="20"/>
                <w:szCs w:val="24"/>
              </w:rPr>
              <w:instrText xml:space="preserve">MERGEFIELD ITENS_VENCEDORES.ID_ITEM</w:instrText>
            </w:r>
            <w:r>
              <w:rPr>
                <w:rFonts w:hint="default" w:ascii="Calibri" w:hAnsi="Calibri" w:eastAsia="Times New Roman" w:cs="Calibri"/>
                <w:sz w:val="20"/>
                <w:szCs w:val="24"/>
              </w:rPr>
              <w:fldChar w:fldCharType="separate"/>
            </w:r>
            <w:r>
              <w:rPr>
                <w:rFonts w:hint="default" w:ascii="Calibri" w:hAnsi="Calibri" w:eastAsia="Times New Roman" w:cs="Calibri"/>
                <w:sz w:val="20"/>
                <w:szCs w:val="24"/>
              </w:rPr>
              <w:t>3</w:t>
            </w:r>
            <w:r>
              <w:rPr>
                <w:rFonts w:hint="default" w:ascii="Calibri" w:hAnsi="Calibri" w:eastAsia="Times New Roman" w:cs="Calibri"/>
                <w:sz w:val="20"/>
                <w:szCs w:val="24"/>
              </w:rPr>
              <w:fldChar w:fldCharType="end"/>
            </w:r>
          </w:p>
        </w:tc>
        <w:tc>
          <w:tcPr>
            <w:tcW w:w="6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right"/>
              <w:rPr>
                <w:rFonts w:hint="default" w:ascii="Calibri" w:hAnsi="Calibri" w:eastAsia="Times New Roman" w:cs="Calibri"/>
                <w:sz w:val="20"/>
                <w:szCs w:val="24"/>
              </w:rPr>
            </w:pPr>
            <w:r>
              <w:rPr>
                <w:rFonts w:hint="default" w:ascii="Calibri" w:hAnsi="Calibri" w:eastAsia="Times New Roman" w:cs="Calibri"/>
                <w:sz w:val="20"/>
                <w:szCs w:val="24"/>
              </w:rPr>
              <w:fldChar w:fldCharType="begin"/>
            </w:r>
            <w:r>
              <w:rPr>
                <w:rFonts w:hint="default" w:ascii="Calibri" w:hAnsi="Calibri" w:eastAsia="Times New Roman" w:cs="Calibri"/>
                <w:sz w:val="20"/>
                <w:szCs w:val="24"/>
              </w:rPr>
              <w:instrText xml:space="preserve">MERGEFIELD ITENS_VENCEDORES.QTDITEM_ILIC</w:instrText>
            </w:r>
            <w:r>
              <w:rPr>
                <w:rFonts w:hint="default" w:ascii="Calibri" w:hAnsi="Calibri" w:eastAsia="Times New Roman" w:cs="Calibri"/>
                <w:sz w:val="20"/>
                <w:szCs w:val="24"/>
              </w:rPr>
              <w:fldChar w:fldCharType="separate"/>
            </w:r>
            <w:r>
              <w:rPr>
                <w:rFonts w:hint="default" w:ascii="Calibri" w:hAnsi="Calibri" w:eastAsia="Times New Roman" w:cs="Calibri"/>
                <w:sz w:val="20"/>
                <w:szCs w:val="24"/>
              </w:rPr>
              <w:t>2</w:t>
            </w:r>
            <w:r>
              <w:rPr>
                <w:rFonts w:hint="default" w:ascii="Calibri" w:hAnsi="Calibri" w:eastAsia="Times New Roman" w:cs="Calibri"/>
                <w:sz w:val="20"/>
                <w:szCs w:val="24"/>
              </w:rPr>
              <w:fldChar w:fldCharType="end"/>
            </w:r>
          </w:p>
        </w:tc>
        <w:tc>
          <w:tcPr>
            <w:tcW w:w="7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default" w:ascii="Calibri" w:hAnsi="Calibri" w:eastAsia="Times New Roman" w:cs="Calibri"/>
                <w:sz w:val="20"/>
                <w:szCs w:val="24"/>
              </w:rPr>
            </w:pPr>
            <w:r>
              <w:rPr>
                <w:rFonts w:hint="default" w:ascii="Calibri" w:hAnsi="Calibri" w:eastAsia="Times New Roman" w:cs="Calibri"/>
                <w:sz w:val="20"/>
                <w:szCs w:val="24"/>
              </w:rPr>
              <w:fldChar w:fldCharType="begin"/>
            </w:r>
            <w:r>
              <w:rPr>
                <w:rFonts w:hint="default" w:ascii="Calibri" w:hAnsi="Calibri" w:eastAsia="Times New Roman" w:cs="Calibri"/>
                <w:sz w:val="20"/>
                <w:szCs w:val="24"/>
              </w:rPr>
              <w:instrText xml:space="preserve">MERGEFIELD ITENS_VENCEDORES.SIGLA_UND</w:instrText>
            </w:r>
            <w:r>
              <w:rPr>
                <w:rFonts w:hint="default" w:ascii="Calibri" w:hAnsi="Calibri" w:eastAsia="Times New Roman" w:cs="Calibri"/>
                <w:sz w:val="20"/>
                <w:szCs w:val="24"/>
              </w:rPr>
              <w:fldChar w:fldCharType="separate"/>
            </w:r>
            <w:r>
              <w:rPr>
                <w:rFonts w:hint="default" w:ascii="Calibri" w:hAnsi="Calibri" w:eastAsia="Times New Roman" w:cs="Calibri"/>
                <w:sz w:val="20"/>
                <w:szCs w:val="24"/>
              </w:rPr>
              <w:t>UN</w:t>
            </w:r>
            <w:r>
              <w:rPr>
                <w:rFonts w:hint="default" w:ascii="Calibri" w:hAnsi="Calibri" w:eastAsia="Times New Roman" w:cs="Calibri"/>
                <w:sz w:val="20"/>
                <w:szCs w:val="24"/>
              </w:rPr>
              <w:fldChar w:fldCharType="end"/>
            </w:r>
          </w:p>
        </w:tc>
        <w:tc>
          <w:tcPr>
            <w:tcW w:w="485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left"/>
              <w:rPr>
                <w:rFonts w:hint="default" w:ascii="Calibri" w:hAnsi="Calibri" w:eastAsia="Times New Roman" w:cs="Calibri"/>
                <w:sz w:val="20"/>
                <w:szCs w:val="24"/>
              </w:rPr>
            </w:pPr>
            <w:r>
              <w:rPr>
                <w:rFonts w:hint="default" w:ascii="Calibri" w:hAnsi="Calibri" w:eastAsia="Times New Roman" w:cs="Calibri"/>
                <w:sz w:val="20"/>
                <w:szCs w:val="24"/>
              </w:rPr>
              <w:fldChar w:fldCharType="begin"/>
            </w:r>
            <w:r>
              <w:rPr>
                <w:rFonts w:hint="default" w:ascii="Calibri" w:hAnsi="Calibri" w:eastAsia="Times New Roman" w:cs="Calibri"/>
                <w:sz w:val="20"/>
                <w:szCs w:val="24"/>
              </w:rPr>
              <w:instrText xml:space="preserve">MERGEFIELD ITENS_VENCEDORES.DESCITEM_ILIC</w:instrText>
            </w:r>
            <w:r>
              <w:rPr>
                <w:rFonts w:hint="default" w:ascii="Calibri" w:hAnsi="Calibri" w:eastAsia="Times New Roman" w:cs="Calibri"/>
                <w:sz w:val="20"/>
                <w:szCs w:val="24"/>
              </w:rPr>
              <w:fldChar w:fldCharType="separate"/>
            </w:r>
            <w:r>
              <w:rPr>
                <w:rFonts w:hint="default" w:ascii="Calibri" w:hAnsi="Calibri" w:eastAsia="Times New Roman" w:cs="Calibri"/>
                <w:sz w:val="20"/>
                <w:szCs w:val="24"/>
              </w:rPr>
              <w:t>Mandíbula fixa 10 dentes.</w:t>
            </w:r>
            <w:r>
              <w:rPr>
                <w:rFonts w:hint="default" w:ascii="Calibri" w:hAnsi="Calibri" w:eastAsia="Times New Roman" w:cs="Calibri"/>
                <w:sz w:val="20"/>
                <w:szCs w:val="24"/>
              </w:rPr>
              <w:fldChar w:fldCharType="end"/>
            </w:r>
          </w:p>
        </w:tc>
        <w:tc>
          <w:tcPr>
            <w:tcW w:w="13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right"/>
              <w:rPr>
                <w:rFonts w:hint="default" w:ascii="Calibri" w:hAnsi="Calibri" w:eastAsia="Times New Roman" w:cs="Calibri"/>
                <w:sz w:val="20"/>
                <w:szCs w:val="24"/>
              </w:rPr>
            </w:pPr>
            <w:r>
              <w:rPr>
                <w:rFonts w:hint="default" w:ascii="Calibri" w:hAnsi="Calibri" w:eastAsia="Times New Roman" w:cs="Calibri"/>
                <w:sz w:val="20"/>
                <w:szCs w:val="24"/>
              </w:rPr>
              <w:fldChar w:fldCharType="begin"/>
            </w:r>
            <w:r>
              <w:rPr>
                <w:rFonts w:hint="default" w:ascii="Calibri" w:hAnsi="Calibri" w:eastAsia="Times New Roman" w:cs="Calibri"/>
                <w:sz w:val="20"/>
                <w:szCs w:val="24"/>
              </w:rPr>
              <w:instrText xml:space="preserve">MERGEFIELD ITENS_VENCEDORES.VLRUNIT_RLIC</w:instrText>
            </w:r>
            <w:r>
              <w:rPr>
                <w:rFonts w:hint="default" w:ascii="Calibri" w:hAnsi="Calibri" w:eastAsia="Times New Roman" w:cs="Calibri"/>
                <w:sz w:val="20"/>
                <w:szCs w:val="24"/>
              </w:rPr>
              <w:fldChar w:fldCharType="separate"/>
            </w:r>
            <w:r>
              <w:rPr>
                <w:rFonts w:hint="default" w:ascii="Calibri" w:hAnsi="Calibri" w:eastAsia="Times New Roman" w:cs="Calibri"/>
                <w:sz w:val="20"/>
                <w:szCs w:val="24"/>
              </w:rPr>
              <w:t>4.500,00</w:t>
            </w:r>
            <w:r>
              <w:rPr>
                <w:rFonts w:hint="default" w:ascii="Calibri" w:hAnsi="Calibri" w:eastAsia="Times New Roman" w:cs="Calibri"/>
                <w:sz w:val="20"/>
                <w:szCs w:val="24"/>
              </w:rPr>
              <w:fldChar w:fldCharType="end"/>
            </w:r>
          </w:p>
        </w:tc>
        <w:tc>
          <w:tcPr>
            <w:tcW w:w="135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right"/>
              <w:rPr>
                <w:rFonts w:hint="default" w:ascii="Calibri" w:hAnsi="Calibri" w:eastAsia="Times New Roman" w:cs="Calibri"/>
                <w:sz w:val="20"/>
                <w:szCs w:val="24"/>
              </w:rPr>
            </w:pPr>
            <w:r>
              <w:rPr>
                <w:rFonts w:hint="default" w:ascii="Calibri" w:hAnsi="Calibri" w:eastAsia="Times New Roman" w:cs="Calibri"/>
                <w:sz w:val="20"/>
                <w:szCs w:val="24"/>
              </w:rPr>
              <w:fldChar w:fldCharType="begin"/>
            </w:r>
            <w:r>
              <w:rPr>
                <w:rFonts w:hint="default" w:ascii="Calibri" w:hAnsi="Calibri" w:eastAsia="Times New Roman" w:cs="Calibri"/>
                <w:sz w:val="20"/>
                <w:szCs w:val="24"/>
              </w:rPr>
              <w:instrText xml:space="preserve">MERGEFIELD ITENS_VENCEDORES.VLRTOTAL</w:instrText>
            </w:r>
            <w:r>
              <w:rPr>
                <w:rFonts w:hint="default" w:ascii="Calibri" w:hAnsi="Calibri" w:eastAsia="Times New Roman" w:cs="Calibri"/>
                <w:sz w:val="20"/>
                <w:szCs w:val="24"/>
              </w:rPr>
              <w:fldChar w:fldCharType="separate"/>
            </w:r>
            <w:r>
              <w:rPr>
                <w:rFonts w:hint="default" w:ascii="Calibri" w:hAnsi="Calibri" w:eastAsia="Times New Roman" w:cs="Calibri"/>
                <w:sz w:val="20"/>
                <w:szCs w:val="24"/>
              </w:rPr>
              <w:t>9.000,00</w:t>
            </w:r>
            <w:r>
              <w:rPr>
                <w:rFonts w:hint="default" w:ascii="Calibri" w:hAnsi="Calibri" w:eastAsia="Times New Roman" w:cs="Calibri"/>
                <w:sz w:val="20"/>
                <w:szCs w:val="24"/>
              </w:rPr>
              <w:fldChar w:fldCharType="end"/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1" w:type="dxa"/>
        </w:trPr>
        <w:tc>
          <w:tcPr>
            <w:tcW w:w="5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right"/>
              <w:rPr>
                <w:rFonts w:hint="default" w:ascii="Calibri" w:hAnsi="Calibri" w:eastAsia="Times New Roman" w:cs="Calibri"/>
                <w:sz w:val="20"/>
                <w:szCs w:val="24"/>
              </w:rPr>
            </w:pPr>
            <w:r>
              <w:rPr>
                <w:rFonts w:hint="default" w:ascii="Calibri" w:hAnsi="Calibri" w:eastAsia="Times New Roman" w:cs="Calibri"/>
                <w:sz w:val="20"/>
                <w:szCs w:val="24"/>
              </w:rPr>
              <w:fldChar w:fldCharType="begin"/>
            </w:r>
            <w:r>
              <w:rPr>
                <w:rFonts w:hint="default" w:ascii="Calibri" w:hAnsi="Calibri" w:eastAsia="Times New Roman" w:cs="Calibri"/>
                <w:sz w:val="20"/>
                <w:szCs w:val="24"/>
              </w:rPr>
              <w:instrText xml:space="preserve">MERGEFIELD ITENS_VENCEDORES.ID_ITEM</w:instrText>
            </w:r>
            <w:r>
              <w:rPr>
                <w:rFonts w:hint="default" w:ascii="Calibri" w:hAnsi="Calibri" w:eastAsia="Times New Roman" w:cs="Calibri"/>
                <w:sz w:val="20"/>
                <w:szCs w:val="24"/>
              </w:rPr>
              <w:fldChar w:fldCharType="separate"/>
            </w:r>
            <w:r>
              <w:rPr>
                <w:rFonts w:hint="default" w:ascii="Calibri" w:hAnsi="Calibri" w:eastAsia="Times New Roman" w:cs="Calibri"/>
                <w:sz w:val="20"/>
                <w:szCs w:val="24"/>
              </w:rPr>
              <w:t>4</w:t>
            </w:r>
            <w:r>
              <w:rPr>
                <w:rFonts w:hint="default" w:ascii="Calibri" w:hAnsi="Calibri" w:eastAsia="Times New Roman" w:cs="Calibri"/>
                <w:sz w:val="20"/>
                <w:szCs w:val="24"/>
              </w:rPr>
              <w:fldChar w:fldCharType="end"/>
            </w:r>
          </w:p>
        </w:tc>
        <w:tc>
          <w:tcPr>
            <w:tcW w:w="6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right"/>
              <w:rPr>
                <w:rFonts w:hint="default" w:ascii="Calibri" w:hAnsi="Calibri" w:eastAsia="Times New Roman" w:cs="Calibri"/>
                <w:sz w:val="20"/>
                <w:szCs w:val="24"/>
              </w:rPr>
            </w:pPr>
            <w:r>
              <w:rPr>
                <w:rFonts w:hint="default" w:ascii="Calibri" w:hAnsi="Calibri" w:eastAsia="Times New Roman" w:cs="Calibri"/>
                <w:sz w:val="20"/>
                <w:szCs w:val="24"/>
              </w:rPr>
              <w:fldChar w:fldCharType="begin"/>
            </w:r>
            <w:r>
              <w:rPr>
                <w:rFonts w:hint="default" w:ascii="Calibri" w:hAnsi="Calibri" w:eastAsia="Times New Roman" w:cs="Calibri"/>
                <w:sz w:val="20"/>
                <w:szCs w:val="24"/>
              </w:rPr>
              <w:instrText xml:space="preserve">MERGEFIELD ITENS_VENCEDORES.QTDITEM_ILIC</w:instrText>
            </w:r>
            <w:r>
              <w:rPr>
                <w:rFonts w:hint="default" w:ascii="Calibri" w:hAnsi="Calibri" w:eastAsia="Times New Roman" w:cs="Calibri"/>
                <w:sz w:val="20"/>
                <w:szCs w:val="24"/>
              </w:rPr>
              <w:fldChar w:fldCharType="separate"/>
            </w:r>
            <w:r>
              <w:rPr>
                <w:rFonts w:hint="default" w:ascii="Calibri" w:hAnsi="Calibri" w:eastAsia="Times New Roman" w:cs="Calibri"/>
                <w:sz w:val="20"/>
                <w:szCs w:val="24"/>
              </w:rPr>
              <w:t>2</w:t>
            </w:r>
            <w:r>
              <w:rPr>
                <w:rFonts w:hint="default" w:ascii="Calibri" w:hAnsi="Calibri" w:eastAsia="Times New Roman" w:cs="Calibri"/>
                <w:sz w:val="20"/>
                <w:szCs w:val="24"/>
              </w:rPr>
              <w:fldChar w:fldCharType="end"/>
            </w:r>
          </w:p>
        </w:tc>
        <w:tc>
          <w:tcPr>
            <w:tcW w:w="7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default" w:ascii="Calibri" w:hAnsi="Calibri" w:eastAsia="Times New Roman" w:cs="Calibri"/>
                <w:sz w:val="20"/>
                <w:szCs w:val="24"/>
              </w:rPr>
            </w:pPr>
            <w:r>
              <w:rPr>
                <w:rFonts w:hint="default" w:ascii="Calibri" w:hAnsi="Calibri" w:eastAsia="Times New Roman" w:cs="Calibri"/>
                <w:sz w:val="20"/>
                <w:szCs w:val="24"/>
              </w:rPr>
              <w:fldChar w:fldCharType="begin"/>
            </w:r>
            <w:r>
              <w:rPr>
                <w:rFonts w:hint="default" w:ascii="Calibri" w:hAnsi="Calibri" w:eastAsia="Times New Roman" w:cs="Calibri"/>
                <w:sz w:val="20"/>
                <w:szCs w:val="24"/>
              </w:rPr>
              <w:instrText xml:space="preserve">MERGEFIELD ITENS_VENCEDORES.SIGLA_UND</w:instrText>
            </w:r>
            <w:r>
              <w:rPr>
                <w:rFonts w:hint="default" w:ascii="Calibri" w:hAnsi="Calibri" w:eastAsia="Times New Roman" w:cs="Calibri"/>
                <w:sz w:val="20"/>
                <w:szCs w:val="24"/>
              </w:rPr>
              <w:fldChar w:fldCharType="separate"/>
            </w:r>
            <w:r>
              <w:rPr>
                <w:rFonts w:hint="default" w:ascii="Calibri" w:hAnsi="Calibri" w:eastAsia="Times New Roman" w:cs="Calibri"/>
                <w:sz w:val="20"/>
                <w:szCs w:val="24"/>
              </w:rPr>
              <w:t>UN</w:t>
            </w:r>
            <w:r>
              <w:rPr>
                <w:rFonts w:hint="default" w:ascii="Calibri" w:hAnsi="Calibri" w:eastAsia="Times New Roman" w:cs="Calibri"/>
                <w:sz w:val="20"/>
                <w:szCs w:val="24"/>
              </w:rPr>
              <w:fldChar w:fldCharType="end"/>
            </w:r>
          </w:p>
        </w:tc>
        <w:tc>
          <w:tcPr>
            <w:tcW w:w="485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left"/>
              <w:rPr>
                <w:rFonts w:hint="default" w:ascii="Calibri" w:hAnsi="Calibri" w:eastAsia="Times New Roman" w:cs="Calibri"/>
                <w:sz w:val="20"/>
                <w:szCs w:val="24"/>
              </w:rPr>
            </w:pPr>
            <w:r>
              <w:rPr>
                <w:rFonts w:hint="default" w:ascii="Calibri" w:hAnsi="Calibri" w:eastAsia="Times New Roman" w:cs="Calibri"/>
                <w:sz w:val="20"/>
                <w:szCs w:val="24"/>
              </w:rPr>
              <w:fldChar w:fldCharType="begin"/>
            </w:r>
            <w:r>
              <w:rPr>
                <w:rFonts w:hint="default" w:ascii="Calibri" w:hAnsi="Calibri" w:eastAsia="Times New Roman" w:cs="Calibri"/>
                <w:sz w:val="20"/>
                <w:szCs w:val="24"/>
              </w:rPr>
              <w:instrText xml:space="preserve">MERGEFIELD ITENS_VENCEDORES.DESCITEM_ILIC</w:instrText>
            </w:r>
            <w:r>
              <w:rPr>
                <w:rFonts w:hint="default" w:ascii="Calibri" w:hAnsi="Calibri" w:eastAsia="Times New Roman" w:cs="Calibri"/>
                <w:sz w:val="20"/>
                <w:szCs w:val="24"/>
              </w:rPr>
              <w:fldChar w:fldCharType="separate"/>
            </w:r>
            <w:r>
              <w:rPr>
                <w:rFonts w:hint="default" w:ascii="Calibri" w:hAnsi="Calibri" w:eastAsia="Times New Roman" w:cs="Calibri"/>
                <w:sz w:val="20"/>
                <w:szCs w:val="24"/>
              </w:rPr>
              <w:t>Cunha de aperto sem proteção.</w:t>
            </w:r>
            <w:r>
              <w:rPr>
                <w:rFonts w:hint="default" w:ascii="Calibri" w:hAnsi="Calibri" w:eastAsia="Times New Roman" w:cs="Calibri"/>
                <w:sz w:val="20"/>
                <w:szCs w:val="24"/>
              </w:rPr>
              <w:fldChar w:fldCharType="end"/>
            </w:r>
          </w:p>
        </w:tc>
        <w:tc>
          <w:tcPr>
            <w:tcW w:w="13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right"/>
              <w:rPr>
                <w:rFonts w:hint="default" w:ascii="Calibri" w:hAnsi="Calibri" w:eastAsia="Times New Roman" w:cs="Calibri"/>
                <w:sz w:val="20"/>
                <w:szCs w:val="24"/>
              </w:rPr>
            </w:pPr>
            <w:r>
              <w:rPr>
                <w:rFonts w:hint="default" w:ascii="Calibri" w:hAnsi="Calibri" w:eastAsia="Times New Roman" w:cs="Calibri"/>
                <w:sz w:val="20"/>
                <w:szCs w:val="24"/>
              </w:rPr>
              <w:fldChar w:fldCharType="begin"/>
            </w:r>
            <w:r>
              <w:rPr>
                <w:rFonts w:hint="default" w:ascii="Calibri" w:hAnsi="Calibri" w:eastAsia="Times New Roman" w:cs="Calibri"/>
                <w:sz w:val="20"/>
                <w:szCs w:val="24"/>
              </w:rPr>
              <w:instrText xml:space="preserve">MERGEFIELD ITENS_VENCEDORES.VLRUNIT_RLIC</w:instrText>
            </w:r>
            <w:r>
              <w:rPr>
                <w:rFonts w:hint="default" w:ascii="Calibri" w:hAnsi="Calibri" w:eastAsia="Times New Roman" w:cs="Calibri"/>
                <w:sz w:val="20"/>
                <w:szCs w:val="24"/>
              </w:rPr>
              <w:fldChar w:fldCharType="separate"/>
            </w:r>
            <w:r>
              <w:rPr>
                <w:rFonts w:hint="default" w:ascii="Calibri" w:hAnsi="Calibri" w:eastAsia="Times New Roman" w:cs="Calibri"/>
                <w:sz w:val="20"/>
                <w:szCs w:val="24"/>
              </w:rPr>
              <w:t>690,00</w:t>
            </w:r>
            <w:r>
              <w:rPr>
                <w:rFonts w:hint="default" w:ascii="Calibri" w:hAnsi="Calibri" w:eastAsia="Times New Roman" w:cs="Calibri"/>
                <w:sz w:val="20"/>
                <w:szCs w:val="24"/>
              </w:rPr>
              <w:fldChar w:fldCharType="end"/>
            </w:r>
          </w:p>
        </w:tc>
        <w:tc>
          <w:tcPr>
            <w:tcW w:w="135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right"/>
              <w:rPr>
                <w:rFonts w:hint="default" w:ascii="Calibri" w:hAnsi="Calibri" w:eastAsia="Times New Roman" w:cs="Calibri"/>
                <w:sz w:val="20"/>
                <w:szCs w:val="24"/>
              </w:rPr>
            </w:pPr>
            <w:r>
              <w:rPr>
                <w:rFonts w:hint="default" w:ascii="Calibri" w:hAnsi="Calibri" w:eastAsia="Times New Roman" w:cs="Calibri"/>
                <w:sz w:val="20"/>
                <w:szCs w:val="24"/>
              </w:rPr>
              <w:fldChar w:fldCharType="begin"/>
            </w:r>
            <w:r>
              <w:rPr>
                <w:rFonts w:hint="default" w:ascii="Calibri" w:hAnsi="Calibri" w:eastAsia="Times New Roman" w:cs="Calibri"/>
                <w:sz w:val="20"/>
                <w:szCs w:val="24"/>
              </w:rPr>
              <w:instrText xml:space="preserve">MERGEFIELD ITENS_VENCEDORES.VLRTOTAL</w:instrText>
            </w:r>
            <w:r>
              <w:rPr>
                <w:rFonts w:hint="default" w:ascii="Calibri" w:hAnsi="Calibri" w:eastAsia="Times New Roman" w:cs="Calibri"/>
                <w:sz w:val="20"/>
                <w:szCs w:val="24"/>
              </w:rPr>
              <w:fldChar w:fldCharType="separate"/>
            </w:r>
            <w:r>
              <w:rPr>
                <w:rFonts w:hint="default" w:ascii="Calibri" w:hAnsi="Calibri" w:eastAsia="Times New Roman" w:cs="Calibri"/>
                <w:sz w:val="20"/>
                <w:szCs w:val="24"/>
              </w:rPr>
              <w:t>1.380,00</w:t>
            </w:r>
            <w:r>
              <w:rPr>
                <w:rFonts w:hint="default" w:ascii="Calibri" w:hAnsi="Calibri" w:eastAsia="Times New Roman" w:cs="Calibri"/>
                <w:sz w:val="20"/>
                <w:szCs w:val="24"/>
              </w:rPr>
              <w:fldChar w:fldCharType="end"/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1" w:type="dxa"/>
        </w:trPr>
        <w:tc>
          <w:tcPr>
            <w:tcW w:w="5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right"/>
              <w:rPr>
                <w:rFonts w:hint="default" w:ascii="Calibri" w:hAnsi="Calibri" w:eastAsia="Times New Roman" w:cs="Calibri"/>
                <w:sz w:val="20"/>
                <w:szCs w:val="24"/>
              </w:rPr>
            </w:pPr>
            <w:r>
              <w:rPr>
                <w:rFonts w:hint="default" w:ascii="Calibri" w:hAnsi="Calibri" w:eastAsia="Times New Roman" w:cs="Calibri"/>
                <w:sz w:val="20"/>
                <w:szCs w:val="24"/>
              </w:rPr>
              <w:fldChar w:fldCharType="begin"/>
            </w:r>
            <w:r>
              <w:rPr>
                <w:rFonts w:hint="default" w:ascii="Calibri" w:hAnsi="Calibri" w:eastAsia="Times New Roman" w:cs="Calibri"/>
                <w:sz w:val="20"/>
                <w:szCs w:val="24"/>
              </w:rPr>
              <w:instrText xml:space="preserve">MERGEFIELD ITENS_VENCEDORES.ID_ITEM</w:instrText>
            </w:r>
            <w:r>
              <w:rPr>
                <w:rFonts w:hint="default" w:ascii="Calibri" w:hAnsi="Calibri" w:eastAsia="Times New Roman" w:cs="Calibri"/>
                <w:sz w:val="20"/>
                <w:szCs w:val="24"/>
              </w:rPr>
              <w:fldChar w:fldCharType="separate"/>
            </w:r>
            <w:r>
              <w:rPr>
                <w:rFonts w:hint="default" w:ascii="Calibri" w:hAnsi="Calibri" w:eastAsia="Times New Roman" w:cs="Calibri"/>
                <w:sz w:val="20"/>
                <w:szCs w:val="24"/>
              </w:rPr>
              <w:t>5</w:t>
            </w:r>
            <w:r>
              <w:rPr>
                <w:rFonts w:hint="default" w:ascii="Calibri" w:hAnsi="Calibri" w:eastAsia="Times New Roman" w:cs="Calibri"/>
                <w:sz w:val="20"/>
                <w:szCs w:val="24"/>
              </w:rPr>
              <w:fldChar w:fldCharType="end"/>
            </w:r>
          </w:p>
        </w:tc>
        <w:tc>
          <w:tcPr>
            <w:tcW w:w="6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right"/>
              <w:rPr>
                <w:rFonts w:hint="default" w:ascii="Calibri" w:hAnsi="Calibri" w:eastAsia="Times New Roman" w:cs="Calibri"/>
                <w:sz w:val="20"/>
                <w:szCs w:val="24"/>
              </w:rPr>
            </w:pPr>
            <w:r>
              <w:rPr>
                <w:rFonts w:hint="default" w:ascii="Calibri" w:hAnsi="Calibri" w:eastAsia="Times New Roman" w:cs="Calibri"/>
                <w:sz w:val="20"/>
                <w:szCs w:val="24"/>
              </w:rPr>
              <w:fldChar w:fldCharType="begin"/>
            </w:r>
            <w:r>
              <w:rPr>
                <w:rFonts w:hint="default" w:ascii="Calibri" w:hAnsi="Calibri" w:eastAsia="Times New Roman" w:cs="Calibri"/>
                <w:sz w:val="20"/>
                <w:szCs w:val="24"/>
              </w:rPr>
              <w:instrText xml:space="preserve">MERGEFIELD ITENS_VENCEDORES.QTDITEM_ILIC</w:instrText>
            </w:r>
            <w:r>
              <w:rPr>
                <w:rFonts w:hint="default" w:ascii="Calibri" w:hAnsi="Calibri" w:eastAsia="Times New Roman" w:cs="Calibri"/>
                <w:sz w:val="20"/>
                <w:szCs w:val="24"/>
              </w:rPr>
              <w:fldChar w:fldCharType="separate"/>
            </w:r>
            <w:r>
              <w:rPr>
                <w:rFonts w:hint="default" w:ascii="Calibri" w:hAnsi="Calibri" w:eastAsia="Times New Roman" w:cs="Calibri"/>
                <w:sz w:val="20"/>
                <w:szCs w:val="24"/>
              </w:rPr>
              <w:t>2</w:t>
            </w:r>
            <w:r>
              <w:rPr>
                <w:rFonts w:hint="default" w:ascii="Calibri" w:hAnsi="Calibri" w:eastAsia="Times New Roman" w:cs="Calibri"/>
                <w:sz w:val="20"/>
                <w:szCs w:val="24"/>
              </w:rPr>
              <w:fldChar w:fldCharType="end"/>
            </w:r>
          </w:p>
        </w:tc>
        <w:tc>
          <w:tcPr>
            <w:tcW w:w="7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default" w:ascii="Calibri" w:hAnsi="Calibri" w:eastAsia="Times New Roman" w:cs="Calibri"/>
                <w:sz w:val="20"/>
                <w:szCs w:val="24"/>
              </w:rPr>
            </w:pPr>
            <w:r>
              <w:rPr>
                <w:rFonts w:hint="default" w:ascii="Calibri" w:hAnsi="Calibri" w:eastAsia="Times New Roman" w:cs="Calibri"/>
                <w:sz w:val="20"/>
                <w:szCs w:val="24"/>
              </w:rPr>
              <w:fldChar w:fldCharType="begin"/>
            </w:r>
            <w:r>
              <w:rPr>
                <w:rFonts w:hint="default" w:ascii="Calibri" w:hAnsi="Calibri" w:eastAsia="Times New Roman" w:cs="Calibri"/>
                <w:sz w:val="20"/>
                <w:szCs w:val="24"/>
              </w:rPr>
              <w:instrText xml:space="preserve">MERGEFIELD ITENS_VENCEDORES.SIGLA_UND</w:instrText>
            </w:r>
            <w:r>
              <w:rPr>
                <w:rFonts w:hint="default" w:ascii="Calibri" w:hAnsi="Calibri" w:eastAsia="Times New Roman" w:cs="Calibri"/>
                <w:sz w:val="20"/>
                <w:szCs w:val="24"/>
              </w:rPr>
              <w:fldChar w:fldCharType="separate"/>
            </w:r>
            <w:r>
              <w:rPr>
                <w:rFonts w:hint="default" w:ascii="Calibri" w:hAnsi="Calibri" w:eastAsia="Times New Roman" w:cs="Calibri"/>
                <w:sz w:val="20"/>
                <w:szCs w:val="24"/>
              </w:rPr>
              <w:t>UN</w:t>
            </w:r>
            <w:r>
              <w:rPr>
                <w:rFonts w:hint="default" w:ascii="Calibri" w:hAnsi="Calibri" w:eastAsia="Times New Roman" w:cs="Calibri"/>
                <w:sz w:val="20"/>
                <w:szCs w:val="24"/>
              </w:rPr>
              <w:fldChar w:fldCharType="end"/>
            </w:r>
          </w:p>
        </w:tc>
        <w:tc>
          <w:tcPr>
            <w:tcW w:w="485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left"/>
              <w:rPr>
                <w:rFonts w:hint="default" w:ascii="Calibri" w:hAnsi="Calibri" w:eastAsia="Times New Roman" w:cs="Calibri"/>
                <w:sz w:val="20"/>
                <w:szCs w:val="24"/>
              </w:rPr>
            </w:pPr>
            <w:r>
              <w:rPr>
                <w:rFonts w:hint="default" w:ascii="Calibri" w:hAnsi="Calibri" w:eastAsia="Times New Roman" w:cs="Calibri"/>
                <w:sz w:val="20"/>
                <w:szCs w:val="24"/>
              </w:rPr>
              <w:fldChar w:fldCharType="begin"/>
            </w:r>
            <w:r>
              <w:rPr>
                <w:rFonts w:hint="default" w:ascii="Calibri" w:hAnsi="Calibri" w:eastAsia="Times New Roman" w:cs="Calibri"/>
                <w:sz w:val="20"/>
                <w:szCs w:val="24"/>
              </w:rPr>
              <w:instrText xml:space="preserve">MERGEFIELD ITENS_VENCEDORES.DESCITEM_ILIC</w:instrText>
            </w:r>
            <w:r>
              <w:rPr>
                <w:rFonts w:hint="default" w:ascii="Calibri" w:hAnsi="Calibri" w:eastAsia="Times New Roman" w:cs="Calibri"/>
                <w:sz w:val="20"/>
                <w:szCs w:val="24"/>
              </w:rPr>
              <w:fldChar w:fldCharType="separate"/>
            </w:r>
            <w:r>
              <w:rPr>
                <w:rFonts w:hint="default" w:ascii="Calibri" w:hAnsi="Calibri" w:eastAsia="Times New Roman" w:cs="Calibri"/>
                <w:sz w:val="20"/>
                <w:szCs w:val="24"/>
              </w:rPr>
              <w:t>Canaleta do porta mandíbula/cunha horizontal.</w:t>
            </w:r>
            <w:r>
              <w:rPr>
                <w:rFonts w:hint="default" w:ascii="Calibri" w:hAnsi="Calibri" w:eastAsia="Times New Roman" w:cs="Calibri"/>
                <w:sz w:val="20"/>
                <w:szCs w:val="24"/>
              </w:rPr>
              <w:fldChar w:fldCharType="end"/>
            </w:r>
          </w:p>
        </w:tc>
        <w:tc>
          <w:tcPr>
            <w:tcW w:w="13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right"/>
              <w:rPr>
                <w:rFonts w:hint="default" w:ascii="Calibri" w:hAnsi="Calibri" w:eastAsia="Times New Roman" w:cs="Calibri"/>
                <w:sz w:val="20"/>
                <w:szCs w:val="24"/>
              </w:rPr>
            </w:pPr>
            <w:r>
              <w:rPr>
                <w:rFonts w:hint="default" w:ascii="Calibri" w:hAnsi="Calibri" w:eastAsia="Times New Roman" w:cs="Calibri"/>
                <w:sz w:val="20"/>
                <w:szCs w:val="24"/>
              </w:rPr>
              <w:fldChar w:fldCharType="begin"/>
            </w:r>
            <w:r>
              <w:rPr>
                <w:rFonts w:hint="default" w:ascii="Calibri" w:hAnsi="Calibri" w:eastAsia="Times New Roman" w:cs="Calibri"/>
                <w:sz w:val="20"/>
                <w:szCs w:val="24"/>
              </w:rPr>
              <w:instrText xml:space="preserve">MERGEFIELD ITENS_VENCEDORES.VLRUNIT_RLIC</w:instrText>
            </w:r>
            <w:r>
              <w:rPr>
                <w:rFonts w:hint="default" w:ascii="Calibri" w:hAnsi="Calibri" w:eastAsia="Times New Roman" w:cs="Calibri"/>
                <w:sz w:val="20"/>
                <w:szCs w:val="24"/>
              </w:rPr>
              <w:fldChar w:fldCharType="separate"/>
            </w:r>
            <w:r>
              <w:rPr>
                <w:rFonts w:hint="default" w:ascii="Calibri" w:hAnsi="Calibri" w:eastAsia="Times New Roman" w:cs="Calibri"/>
                <w:sz w:val="20"/>
                <w:szCs w:val="24"/>
              </w:rPr>
              <w:t>310,00</w:t>
            </w:r>
            <w:r>
              <w:rPr>
                <w:rFonts w:hint="default" w:ascii="Calibri" w:hAnsi="Calibri" w:eastAsia="Times New Roman" w:cs="Calibri"/>
                <w:sz w:val="20"/>
                <w:szCs w:val="24"/>
              </w:rPr>
              <w:fldChar w:fldCharType="end"/>
            </w:r>
          </w:p>
        </w:tc>
        <w:tc>
          <w:tcPr>
            <w:tcW w:w="135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right"/>
              <w:rPr>
                <w:rFonts w:hint="default" w:ascii="Calibri" w:hAnsi="Calibri" w:eastAsia="Times New Roman" w:cs="Calibri"/>
                <w:sz w:val="20"/>
                <w:szCs w:val="24"/>
              </w:rPr>
            </w:pPr>
            <w:r>
              <w:rPr>
                <w:rFonts w:hint="default" w:ascii="Calibri" w:hAnsi="Calibri" w:eastAsia="Times New Roman" w:cs="Calibri"/>
                <w:sz w:val="20"/>
                <w:szCs w:val="24"/>
              </w:rPr>
              <w:fldChar w:fldCharType="begin"/>
            </w:r>
            <w:r>
              <w:rPr>
                <w:rFonts w:hint="default" w:ascii="Calibri" w:hAnsi="Calibri" w:eastAsia="Times New Roman" w:cs="Calibri"/>
                <w:sz w:val="20"/>
                <w:szCs w:val="24"/>
              </w:rPr>
              <w:instrText xml:space="preserve">MERGEFIELD ITENS_VENCEDORES.VLRTOTAL</w:instrText>
            </w:r>
            <w:r>
              <w:rPr>
                <w:rFonts w:hint="default" w:ascii="Calibri" w:hAnsi="Calibri" w:eastAsia="Times New Roman" w:cs="Calibri"/>
                <w:sz w:val="20"/>
                <w:szCs w:val="24"/>
              </w:rPr>
              <w:fldChar w:fldCharType="separate"/>
            </w:r>
            <w:r>
              <w:rPr>
                <w:rFonts w:hint="default" w:ascii="Calibri" w:hAnsi="Calibri" w:eastAsia="Times New Roman" w:cs="Calibri"/>
                <w:sz w:val="20"/>
                <w:szCs w:val="24"/>
              </w:rPr>
              <w:t>620,00</w:t>
            </w:r>
            <w:r>
              <w:rPr>
                <w:rFonts w:hint="default" w:ascii="Calibri" w:hAnsi="Calibri" w:eastAsia="Times New Roman" w:cs="Calibri"/>
                <w:sz w:val="20"/>
                <w:szCs w:val="24"/>
              </w:rPr>
              <w:fldChar w:fldCharType="end"/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1" w:type="dxa"/>
        </w:trPr>
        <w:tc>
          <w:tcPr>
            <w:tcW w:w="5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right"/>
              <w:rPr>
                <w:rFonts w:hint="default" w:ascii="Calibri" w:hAnsi="Calibri" w:eastAsia="Times New Roman" w:cs="Calibri"/>
                <w:sz w:val="20"/>
                <w:szCs w:val="24"/>
              </w:rPr>
            </w:pPr>
            <w:r>
              <w:rPr>
                <w:rFonts w:hint="default" w:ascii="Calibri" w:hAnsi="Calibri" w:eastAsia="Times New Roman" w:cs="Calibri"/>
                <w:sz w:val="20"/>
                <w:szCs w:val="24"/>
              </w:rPr>
              <w:fldChar w:fldCharType="begin"/>
            </w:r>
            <w:r>
              <w:rPr>
                <w:rFonts w:hint="default" w:ascii="Calibri" w:hAnsi="Calibri" w:eastAsia="Times New Roman" w:cs="Calibri"/>
                <w:sz w:val="20"/>
                <w:szCs w:val="24"/>
              </w:rPr>
              <w:instrText xml:space="preserve">MERGEFIELD ITENS_VENCEDORES.ID_ITEM</w:instrText>
            </w:r>
            <w:r>
              <w:rPr>
                <w:rFonts w:hint="default" w:ascii="Calibri" w:hAnsi="Calibri" w:eastAsia="Times New Roman" w:cs="Calibri"/>
                <w:sz w:val="20"/>
                <w:szCs w:val="24"/>
              </w:rPr>
              <w:fldChar w:fldCharType="separate"/>
            </w:r>
            <w:r>
              <w:rPr>
                <w:rFonts w:hint="default" w:ascii="Calibri" w:hAnsi="Calibri" w:eastAsia="Times New Roman" w:cs="Calibri"/>
                <w:sz w:val="20"/>
                <w:szCs w:val="24"/>
              </w:rPr>
              <w:t>6</w:t>
            </w:r>
            <w:r>
              <w:rPr>
                <w:rFonts w:hint="default" w:ascii="Calibri" w:hAnsi="Calibri" w:eastAsia="Times New Roman" w:cs="Calibri"/>
                <w:sz w:val="20"/>
                <w:szCs w:val="24"/>
              </w:rPr>
              <w:fldChar w:fldCharType="end"/>
            </w:r>
          </w:p>
        </w:tc>
        <w:tc>
          <w:tcPr>
            <w:tcW w:w="6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right"/>
              <w:rPr>
                <w:rFonts w:hint="default" w:ascii="Calibri" w:hAnsi="Calibri" w:eastAsia="Times New Roman" w:cs="Calibri"/>
                <w:sz w:val="20"/>
                <w:szCs w:val="24"/>
              </w:rPr>
            </w:pPr>
            <w:r>
              <w:rPr>
                <w:rFonts w:hint="default" w:ascii="Calibri" w:hAnsi="Calibri" w:eastAsia="Times New Roman" w:cs="Calibri"/>
                <w:sz w:val="20"/>
                <w:szCs w:val="24"/>
              </w:rPr>
              <w:fldChar w:fldCharType="begin"/>
            </w:r>
            <w:r>
              <w:rPr>
                <w:rFonts w:hint="default" w:ascii="Calibri" w:hAnsi="Calibri" w:eastAsia="Times New Roman" w:cs="Calibri"/>
                <w:sz w:val="20"/>
                <w:szCs w:val="24"/>
              </w:rPr>
              <w:instrText xml:space="preserve">MERGEFIELD ITENS_VENCEDORES.QTDITEM_ILIC</w:instrText>
            </w:r>
            <w:r>
              <w:rPr>
                <w:rFonts w:hint="default" w:ascii="Calibri" w:hAnsi="Calibri" w:eastAsia="Times New Roman" w:cs="Calibri"/>
                <w:sz w:val="20"/>
                <w:szCs w:val="24"/>
              </w:rPr>
              <w:fldChar w:fldCharType="separate"/>
            </w:r>
            <w:r>
              <w:rPr>
                <w:rFonts w:hint="default" w:ascii="Calibri" w:hAnsi="Calibri" w:eastAsia="Times New Roman" w:cs="Calibri"/>
                <w:sz w:val="20"/>
                <w:szCs w:val="24"/>
              </w:rPr>
              <w:t>1</w:t>
            </w:r>
            <w:r>
              <w:rPr>
                <w:rFonts w:hint="default" w:ascii="Calibri" w:hAnsi="Calibri" w:eastAsia="Times New Roman" w:cs="Calibri"/>
                <w:sz w:val="20"/>
                <w:szCs w:val="24"/>
              </w:rPr>
              <w:fldChar w:fldCharType="end"/>
            </w:r>
          </w:p>
        </w:tc>
        <w:tc>
          <w:tcPr>
            <w:tcW w:w="7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default" w:ascii="Calibri" w:hAnsi="Calibri" w:eastAsia="Times New Roman" w:cs="Calibri"/>
                <w:sz w:val="20"/>
                <w:szCs w:val="24"/>
              </w:rPr>
            </w:pPr>
            <w:r>
              <w:rPr>
                <w:rFonts w:hint="default" w:ascii="Calibri" w:hAnsi="Calibri" w:eastAsia="Times New Roman" w:cs="Calibri"/>
                <w:sz w:val="20"/>
                <w:szCs w:val="24"/>
              </w:rPr>
              <w:fldChar w:fldCharType="begin"/>
            </w:r>
            <w:r>
              <w:rPr>
                <w:rFonts w:hint="default" w:ascii="Calibri" w:hAnsi="Calibri" w:eastAsia="Times New Roman" w:cs="Calibri"/>
                <w:sz w:val="20"/>
                <w:szCs w:val="24"/>
              </w:rPr>
              <w:instrText xml:space="preserve">MERGEFIELD ITENS_VENCEDORES.SIGLA_UND</w:instrText>
            </w:r>
            <w:r>
              <w:rPr>
                <w:rFonts w:hint="default" w:ascii="Calibri" w:hAnsi="Calibri" w:eastAsia="Times New Roman" w:cs="Calibri"/>
                <w:sz w:val="20"/>
                <w:szCs w:val="24"/>
              </w:rPr>
              <w:fldChar w:fldCharType="separate"/>
            </w:r>
            <w:r>
              <w:rPr>
                <w:rFonts w:hint="default" w:ascii="Calibri" w:hAnsi="Calibri" w:eastAsia="Times New Roman" w:cs="Calibri"/>
                <w:sz w:val="20"/>
                <w:szCs w:val="24"/>
              </w:rPr>
              <w:t>UN</w:t>
            </w:r>
            <w:r>
              <w:rPr>
                <w:rFonts w:hint="default" w:ascii="Calibri" w:hAnsi="Calibri" w:eastAsia="Times New Roman" w:cs="Calibri"/>
                <w:sz w:val="20"/>
                <w:szCs w:val="24"/>
              </w:rPr>
              <w:fldChar w:fldCharType="end"/>
            </w:r>
          </w:p>
        </w:tc>
        <w:tc>
          <w:tcPr>
            <w:tcW w:w="485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left"/>
              <w:rPr>
                <w:rFonts w:hint="default" w:ascii="Calibri" w:hAnsi="Calibri" w:eastAsia="Times New Roman" w:cs="Calibri"/>
                <w:sz w:val="20"/>
                <w:szCs w:val="24"/>
              </w:rPr>
            </w:pPr>
            <w:r>
              <w:rPr>
                <w:rFonts w:hint="default" w:ascii="Calibri" w:hAnsi="Calibri" w:eastAsia="Times New Roman" w:cs="Calibri"/>
                <w:sz w:val="20"/>
                <w:szCs w:val="24"/>
              </w:rPr>
              <w:fldChar w:fldCharType="begin"/>
            </w:r>
            <w:r>
              <w:rPr>
                <w:rFonts w:hint="default" w:ascii="Calibri" w:hAnsi="Calibri" w:eastAsia="Times New Roman" w:cs="Calibri"/>
                <w:sz w:val="20"/>
                <w:szCs w:val="24"/>
              </w:rPr>
              <w:instrText xml:space="preserve">MERGEFIELD ITENS_VENCEDORES.DESCITEM_ILIC</w:instrText>
            </w:r>
            <w:r>
              <w:rPr>
                <w:rFonts w:hint="default" w:ascii="Calibri" w:hAnsi="Calibri" w:eastAsia="Times New Roman" w:cs="Calibri"/>
                <w:sz w:val="20"/>
                <w:szCs w:val="24"/>
              </w:rPr>
              <w:fldChar w:fldCharType="separate"/>
            </w:r>
            <w:r>
              <w:rPr>
                <w:rFonts w:hint="default" w:ascii="Calibri" w:hAnsi="Calibri" w:eastAsia="Times New Roman" w:cs="Calibri"/>
                <w:sz w:val="20"/>
                <w:szCs w:val="24"/>
              </w:rPr>
              <w:t>Cunha lateral esquerda.</w:t>
            </w:r>
            <w:r>
              <w:rPr>
                <w:rFonts w:hint="default" w:ascii="Calibri" w:hAnsi="Calibri" w:eastAsia="Times New Roman" w:cs="Calibri"/>
                <w:sz w:val="20"/>
                <w:szCs w:val="24"/>
              </w:rPr>
              <w:fldChar w:fldCharType="end"/>
            </w:r>
          </w:p>
        </w:tc>
        <w:tc>
          <w:tcPr>
            <w:tcW w:w="13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right"/>
              <w:rPr>
                <w:rFonts w:hint="default" w:ascii="Calibri" w:hAnsi="Calibri" w:eastAsia="Times New Roman" w:cs="Calibri"/>
                <w:sz w:val="20"/>
                <w:szCs w:val="24"/>
              </w:rPr>
            </w:pPr>
            <w:r>
              <w:rPr>
                <w:rFonts w:hint="default" w:ascii="Calibri" w:hAnsi="Calibri" w:eastAsia="Times New Roman" w:cs="Calibri"/>
                <w:sz w:val="20"/>
                <w:szCs w:val="24"/>
              </w:rPr>
              <w:fldChar w:fldCharType="begin"/>
            </w:r>
            <w:r>
              <w:rPr>
                <w:rFonts w:hint="default" w:ascii="Calibri" w:hAnsi="Calibri" w:eastAsia="Times New Roman" w:cs="Calibri"/>
                <w:sz w:val="20"/>
                <w:szCs w:val="24"/>
              </w:rPr>
              <w:instrText xml:space="preserve">MERGEFIELD ITENS_VENCEDORES.VLRUNIT_RLIC</w:instrText>
            </w:r>
            <w:r>
              <w:rPr>
                <w:rFonts w:hint="default" w:ascii="Calibri" w:hAnsi="Calibri" w:eastAsia="Times New Roman" w:cs="Calibri"/>
                <w:sz w:val="20"/>
                <w:szCs w:val="24"/>
              </w:rPr>
              <w:fldChar w:fldCharType="separate"/>
            </w:r>
            <w:r>
              <w:rPr>
                <w:rFonts w:hint="default" w:ascii="Calibri" w:hAnsi="Calibri" w:eastAsia="Times New Roman" w:cs="Calibri"/>
                <w:sz w:val="20"/>
                <w:szCs w:val="24"/>
              </w:rPr>
              <w:t>1.762,00</w:t>
            </w:r>
            <w:r>
              <w:rPr>
                <w:rFonts w:hint="default" w:ascii="Calibri" w:hAnsi="Calibri" w:eastAsia="Times New Roman" w:cs="Calibri"/>
                <w:sz w:val="20"/>
                <w:szCs w:val="24"/>
              </w:rPr>
              <w:fldChar w:fldCharType="end"/>
            </w:r>
          </w:p>
        </w:tc>
        <w:tc>
          <w:tcPr>
            <w:tcW w:w="135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right"/>
              <w:rPr>
                <w:rFonts w:hint="default" w:ascii="Calibri" w:hAnsi="Calibri" w:eastAsia="Times New Roman" w:cs="Calibri"/>
                <w:sz w:val="20"/>
                <w:szCs w:val="24"/>
              </w:rPr>
            </w:pPr>
            <w:r>
              <w:rPr>
                <w:rFonts w:hint="default" w:ascii="Calibri" w:hAnsi="Calibri" w:eastAsia="Times New Roman" w:cs="Calibri"/>
                <w:sz w:val="20"/>
                <w:szCs w:val="24"/>
              </w:rPr>
              <w:fldChar w:fldCharType="begin"/>
            </w:r>
            <w:r>
              <w:rPr>
                <w:rFonts w:hint="default" w:ascii="Calibri" w:hAnsi="Calibri" w:eastAsia="Times New Roman" w:cs="Calibri"/>
                <w:sz w:val="20"/>
                <w:szCs w:val="24"/>
              </w:rPr>
              <w:instrText xml:space="preserve">MERGEFIELD ITENS_VENCEDORES.VLRTOTAL</w:instrText>
            </w:r>
            <w:r>
              <w:rPr>
                <w:rFonts w:hint="default" w:ascii="Calibri" w:hAnsi="Calibri" w:eastAsia="Times New Roman" w:cs="Calibri"/>
                <w:sz w:val="20"/>
                <w:szCs w:val="24"/>
              </w:rPr>
              <w:fldChar w:fldCharType="separate"/>
            </w:r>
            <w:r>
              <w:rPr>
                <w:rFonts w:hint="default" w:ascii="Calibri" w:hAnsi="Calibri" w:eastAsia="Times New Roman" w:cs="Calibri"/>
                <w:sz w:val="20"/>
                <w:szCs w:val="24"/>
              </w:rPr>
              <w:t>1.762,00</w:t>
            </w:r>
            <w:r>
              <w:rPr>
                <w:rFonts w:hint="default" w:ascii="Calibri" w:hAnsi="Calibri" w:eastAsia="Times New Roman" w:cs="Calibri"/>
                <w:sz w:val="20"/>
                <w:szCs w:val="24"/>
              </w:rPr>
              <w:fldChar w:fldCharType="end"/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1" w:type="dxa"/>
        </w:trPr>
        <w:tc>
          <w:tcPr>
            <w:tcW w:w="5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right"/>
              <w:rPr>
                <w:rFonts w:hint="default" w:ascii="Calibri" w:hAnsi="Calibri" w:eastAsia="Times New Roman" w:cs="Calibri"/>
                <w:sz w:val="20"/>
                <w:szCs w:val="24"/>
              </w:rPr>
            </w:pPr>
            <w:r>
              <w:rPr>
                <w:rFonts w:hint="default" w:ascii="Calibri" w:hAnsi="Calibri" w:eastAsia="Times New Roman" w:cs="Calibri"/>
                <w:sz w:val="20"/>
                <w:szCs w:val="24"/>
              </w:rPr>
              <w:fldChar w:fldCharType="begin"/>
            </w:r>
            <w:r>
              <w:rPr>
                <w:rFonts w:hint="default" w:ascii="Calibri" w:hAnsi="Calibri" w:eastAsia="Times New Roman" w:cs="Calibri"/>
                <w:sz w:val="20"/>
                <w:szCs w:val="24"/>
              </w:rPr>
              <w:instrText xml:space="preserve">MERGEFIELD ITENS_VENCEDORES.ID_ITEM</w:instrText>
            </w:r>
            <w:r>
              <w:rPr>
                <w:rFonts w:hint="default" w:ascii="Calibri" w:hAnsi="Calibri" w:eastAsia="Times New Roman" w:cs="Calibri"/>
                <w:sz w:val="20"/>
                <w:szCs w:val="24"/>
              </w:rPr>
              <w:fldChar w:fldCharType="separate"/>
            </w:r>
            <w:r>
              <w:rPr>
                <w:rFonts w:hint="default" w:ascii="Calibri" w:hAnsi="Calibri" w:eastAsia="Times New Roman" w:cs="Calibri"/>
                <w:sz w:val="20"/>
                <w:szCs w:val="24"/>
              </w:rPr>
              <w:t>7</w:t>
            </w:r>
            <w:r>
              <w:rPr>
                <w:rFonts w:hint="default" w:ascii="Calibri" w:hAnsi="Calibri" w:eastAsia="Times New Roman" w:cs="Calibri"/>
                <w:sz w:val="20"/>
                <w:szCs w:val="24"/>
              </w:rPr>
              <w:fldChar w:fldCharType="end"/>
            </w:r>
          </w:p>
        </w:tc>
        <w:tc>
          <w:tcPr>
            <w:tcW w:w="6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right"/>
              <w:rPr>
                <w:rFonts w:hint="default" w:ascii="Calibri" w:hAnsi="Calibri" w:eastAsia="Times New Roman" w:cs="Calibri"/>
                <w:sz w:val="20"/>
                <w:szCs w:val="24"/>
              </w:rPr>
            </w:pPr>
            <w:r>
              <w:rPr>
                <w:rFonts w:hint="default" w:ascii="Calibri" w:hAnsi="Calibri" w:eastAsia="Times New Roman" w:cs="Calibri"/>
                <w:sz w:val="20"/>
                <w:szCs w:val="24"/>
              </w:rPr>
              <w:fldChar w:fldCharType="begin"/>
            </w:r>
            <w:r>
              <w:rPr>
                <w:rFonts w:hint="default" w:ascii="Calibri" w:hAnsi="Calibri" w:eastAsia="Times New Roman" w:cs="Calibri"/>
                <w:sz w:val="20"/>
                <w:szCs w:val="24"/>
              </w:rPr>
              <w:instrText xml:space="preserve">MERGEFIELD ITENS_VENCEDORES.QTDITEM_ILIC</w:instrText>
            </w:r>
            <w:r>
              <w:rPr>
                <w:rFonts w:hint="default" w:ascii="Calibri" w:hAnsi="Calibri" w:eastAsia="Times New Roman" w:cs="Calibri"/>
                <w:sz w:val="20"/>
                <w:szCs w:val="24"/>
              </w:rPr>
              <w:fldChar w:fldCharType="separate"/>
            </w:r>
            <w:r>
              <w:rPr>
                <w:rFonts w:hint="default" w:ascii="Calibri" w:hAnsi="Calibri" w:eastAsia="Times New Roman" w:cs="Calibri"/>
                <w:sz w:val="20"/>
                <w:szCs w:val="24"/>
              </w:rPr>
              <w:t>1</w:t>
            </w:r>
            <w:r>
              <w:rPr>
                <w:rFonts w:hint="default" w:ascii="Calibri" w:hAnsi="Calibri" w:eastAsia="Times New Roman" w:cs="Calibri"/>
                <w:sz w:val="20"/>
                <w:szCs w:val="24"/>
              </w:rPr>
              <w:fldChar w:fldCharType="end"/>
            </w:r>
          </w:p>
        </w:tc>
        <w:tc>
          <w:tcPr>
            <w:tcW w:w="7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default" w:ascii="Calibri" w:hAnsi="Calibri" w:eastAsia="Times New Roman" w:cs="Calibri"/>
                <w:sz w:val="20"/>
                <w:szCs w:val="24"/>
              </w:rPr>
            </w:pPr>
            <w:r>
              <w:rPr>
                <w:rFonts w:hint="default" w:ascii="Calibri" w:hAnsi="Calibri" w:eastAsia="Times New Roman" w:cs="Calibri"/>
                <w:sz w:val="20"/>
                <w:szCs w:val="24"/>
              </w:rPr>
              <w:fldChar w:fldCharType="begin"/>
            </w:r>
            <w:r>
              <w:rPr>
                <w:rFonts w:hint="default" w:ascii="Calibri" w:hAnsi="Calibri" w:eastAsia="Times New Roman" w:cs="Calibri"/>
                <w:sz w:val="20"/>
                <w:szCs w:val="24"/>
              </w:rPr>
              <w:instrText xml:space="preserve">MERGEFIELD ITENS_VENCEDORES.SIGLA_UND</w:instrText>
            </w:r>
            <w:r>
              <w:rPr>
                <w:rFonts w:hint="default" w:ascii="Calibri" w:hAnsi="Calibri" w:eastAsia="Times New Roman" w:cs="Calibri"/>
                <w:sz w:val="20"/>
                <w:szCs w:val="24"/>
              </w:rPr>
              <w:fldChar w:fldCharType="separate"/>
            </w:r>
            <w:r>
              <w:rPr>
                <w:rFonts w:hint="default" w:ascii="Calibri" w:hAnsi="Calibri" w:eastAsia="Times New Roman" w:cs="Calibri"/>
                <w:sz w:val="20"/>
                <w:szCs w:val="24"/>
              </w:rPr>
              <w:t>UN</w:t>
            </w:r>
            <w:r>
              <w:rPr>
                <w:rFonts w:hint="default" w:ascii="Calibri" w:hAnsi="Calibri" w:eastAsia="Times New Roman" w:cs="Calibri"/>
                <w:sz w:val="20"/>
                <w:szCs w:val="24"/>
              </w:rPr>
              <w:fldChar w:fldCharType="end"/>
            </w:r>
          </w:p>
        </w:tc>
        <w:tc>
          <w:tcPr>
            <w:tcW w:w="485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left"/>
              <w:rPr>
                <w:rFonts w:hint="default" w:ascii="Calibri" w:hAnsi="Calibri" w:eastAsia="Times New Roman" w:cs="Calibri"/>
                <w:sz w:val="20"/>
                <w:szCs w:val="24"/>
              </w:rPr>
            </w:pPr>
            <w:r>
              <w:rPr>
                <w:rFonts w:hint="default" w:ascii="Calibri" w:hAnsi="Calibri" w:eastAsia="Times New Roman" w:cs="Calibri"/>
                <w:sz w:val="20"/>
                <w:szCs w:val="24"/>
              </w:rPr>
              <w:fldChar w:fldCharType="begin"/>
            </w:r>
            <w:r>
              <w:rPr>
                <w:rFonts w:hint="default" w:ascii="Calibri" w:hAnsi="Calibri" w:eastAsia="Times New Roman" w:cs="Calibri"/>
                <w:sz w:val="20"/>
                <w:szCs w:val="24"/>
              </w:rPr>
              <w:instrText xml:space="preserve">MERGEFIELD ITENS_VENCEDORES.DESCITEM_ILIC</w:instrText>
            </w:r>
            <w:r>
              <w:rPr>
                <w:rFonts w:hint="default" w:ascii="Calibri" w:hAnsi="Calibri" w:eastAsia="Times New Roman" w:cs="Calibri"/>
                <w:sz w:val="20"/>
                <w:szCs w:val="24"/>
              </w:rPr>
              <w:fldChar w:fldCharType="separate"/>
            </w:r>
            <w:r>
              <w:rPr>
                <w:rFonts w:hint="default" w:ascii="Calibri" w:hAnsi="Calibri" w:eastAsia="Times New Roman" w:cs="Calibri"/>
                <w:sz w:val="20"/>
                <w:szCs w:val="24"/>
              </w:rPr>
              <w:t>Cunha lateral direita.</w:t>
            </w:r>
            <w:r>
              <w:rPr>
                <w:rFonts w:hint="default" w:ascii="Calibri" w:hAnsi="Calibri" w:eastAsia="Times New Roman" w:cs="Calibri"/>
                <w:sz w:val="20"/>
                <w:szCs w:val="24"/>
              </w:rPr>
              <w:fldChar w:fldCharType="end"/>
            </w:r>
          </w:p>
        </w:tc>
        <w:tc>
          <w:tcPr>
            <w:tcW w:w="13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right"/>
              <w:rPr>
                <w:rFonts w:hint="default" w:ascii="Calibri" w:hAnsi="Calibri" w:eastAsia="Times New Roman" w:cs="Calibri"/>
                <w:sz w:val="20"/>
                <w:szCs w:val="24"/>
              </w:rPr>
            </w:pPr>
            <w:r>
              <w:rPr>
                <w:rFonts w:hint="default" w:ascii="Calibri" w:hAnsi="Calibri" w:eastAsia="Times New Roman" w:cs="Calibri"/>
                <w:sz w:val="20"/>
                <w:szCs w:val="24"/>
              </w:rPr>
              <w:fldChar w:fldCharType="begin"/>
            </w:r>
            <w:r>
              <w:rPr>
                <w:rFonts w:hint="default" w:ascii="Calibri" w:hAnsi="Calibri" w:eastAsia="Times New Roman" w:cs="Calibri"/>
                <w:sz w:val="20"/>
                <w:szCs w:val="24"/>
              </w:rPr>
              <w:instrText xml:space="preserve">MERGEFIELD ITENS_VENCEDORES.VLRUNIT_RLIC</w:instrText>
            </w:r>
            <w:r>
              <w:rPr>
                <w:rFonts w:hint="default" w:ascii="Calibri" w:hAnsi="Calibri" w:eastAsia="Times New Roman" w:cs="Calibri"/>
                <w:sz w:val="20"/>
                <w:szCs w:val="24"/>
              </w:rPr>
              <w:fldChar w:fldCharType="separate"/>
            </w:r>
            <w:r>
              <w:rPr>
                <w:rFonts w:hint="default" w:ascii="Calibri" w:hAnsi="Calibri" w:eastAsia="Times New Roman" w:cs="Calibri"/>
                <w:sz w:val="20"/>
                <w:szCs w:val="24"/>
              </w:rPr>
              <w:t>1.762,00</w:t>
            </w:r>
            <w:r>
              <w:rPr>
                <w:rFonts w:hint="default" w:ascii="Calibri" w:hAnsi="Calibri" w:eastAsia="Times New Roman" w:cs="Calibri"/>
                <w:sz w:val="20"/>
                <w:szCs w:val="24"/>
              </w:rPr>
              <w:fldChar w:fldCharType="end"/>
            </w:r>
          </w:p>
        </w:tc>
        <w:tc>
          <w:tcPr>
            <w:tcW w:w="135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right"/>
              <w:rPr>
                <w:rFonts w:hint="default" w:ascii="Calibri" w:hAnsi="Calibri" w:eastAsia="Times New Roman" w:cs="Calibri"/>
                <w:sz w:val="20"/>
                <w:szCs w:val="24"/>
              </w:rPr>
            </w:pPr>
            <w:r>
              <w:rPr>
                <w:rFonts w:hint="default" w:ascii="Calibri" w:hAnsi="Calibri" w:eastAsia="Times New Roman" w:cs="Calibri"/>
                <w:sz w:val="20"/>
                <w:szCs w:val="24"/>
              </w:rPr>
              <w:fldChar w:fldCharType="begin"/>
            </w:r>
            <w:r>
              <w:rPr>
                <w:rFonts w:hint="default" w:ascii="Calibri" w:hAnsi="Calibri" w:eastAsia="Times New Roman" w:cs="Calibri"/>
                <w:sz w:val="20"/>
                <w:szCs w:val="24"/>
              </w:rPr>
              <w:instrText xml:space="preserve">MERGEFIELD ITENS_VENCEDORES.VLRTOTAL</w:instrText>
            </w:r>
            <w:r>
              <w:rPr>
                <w:rFonts w:hint="default" w:ascii="Calibri" w:hAnsi="Calibri" w:eastAsia="Times New Roman" w:cs="Calibri"/>
                <w:sz w:val="20"/>
                <w:szCs w:val="24"/>
              </w:rPr>
              <w:fldChar w:fldCharType="separate"/>
            </w:r>
            <w:r>
              <w:rPr>
                <w:rFonts w:hint="default" w:ascii="Calibri" w:hAnsi="Calibri" w:eastAsia="Times New Roman" w:cs="Calibri"/>
                <w:sz w:val="20"/>
                <w:szCs w:val="24"/>
              </w:rPr>
              <w:t>1.762,00</w:t>
            </w:r>
            <w:r>
              <w:rPr>
                <w:rFonts w:hint="default" w:ascii="Calibri" w:hAnsi="Calibri" w:eastAsia="Times New Roman" w:cs="Calibri"/>
                <w:sz w:val="20"/>
                <w:szCs w:val="24"/>
              </w:rPr>
              <w:fldChar w:fldCharType="end"/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6852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right"/>
              <w:rPr>
                <w:rFonts w:hint="default" w:ascii="Calibri" w:hAnsi="Calibri" w:eastAsia="Times New Roman" w:cs="Calibri"/>
                <w:b/>
                <w:sz w:val="20"/>
                <w:szCs w:val="24"/>
              </w:rPr>
            </w:pPr>
            <w:r>
              <w:rPr>
                <w:rFonts w:hint="default" w:ascii="Calibri" w:hAnsi="Calibri" w:eastAsia="Times New Roman" w:cs="Calibri"/>
                <w:b/>
                <w:sz w:val="20"/>
                <w:szCs w:val="24"/>
              </w:rPr>
              <w:t>Total dos Produtos</w:t>
            </w:r>
          </w:p>
        </w:tc>
        <w:tc>
          <w:tcPr>
            <w:tcW w:w="1400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left"/>
              <w:rPr>
                <w:rFonts w:hint="default" w:ascii="Calibri" w:hAnsi="Calibri" w:cs="Calibri"/>
                <w:sz w:val="22"/>
                <w:szCs w:val="24"/>
              </w:rPr>
            </w:pPr>
          </w:p>
        </w:tc>
        <w:tc>
          <w:tcPr>
            <w:tcW w:w="134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right"/>
              <w:rPr>
                <w:rFonts w:hint="default" w:ascii="Calibri" w:hAnsi="Calibri" w:eastAsia="Times New Roman" w:cs="Calibri"/>
                <w:b/>
                <w:sz w:val="20"/>
                <w:szCs w:val="24"/>
              </w:rPr>
            </w:pPr>
            <w:r>
              <w:rPr>
                <w:rFonts w:hint="default" w:ascii="Calibri" w:hAnsi="Calibri" w:eastAsia="Times New Roman" w:cs="Calibri"/>
                <w:b/>
                <w:sz w:val="20"/>
                <w:szCs w:val="24"/>
              </w:rPr>
              <w:fldChar w:fldCharType="begin"/>
            </w:r>
            <w:r>
              <w:rPr>
                <w:rFonts w:hint="default" w:ascii="Calibri" w:hAnsi="Calibri" w:eastAsia="Times New Roman" w:cs="Calibri"/>
                <w:b/>
                <w:sz w:val="20"/>
                <w:szCs w:val="24"/>
              </w:rPr>
              <w:instrText xml:space="preserve">MERGEFIELD EMPRESAS_COM_ITENS_VENCEDORES.TOTALGERAL</w:instrText>
            </w:r>
            <w:r>
              <w:rPr>
                <w:rFonts w:hint="default" w:ascii="Calibri" w:hAnsi="Calibri" w:eastAsia="Times New Roman" w:cs="Calibri"/>
                <w:b/>
                <w:sz w:val="20"/>
                <w:szCs w:val="24"/>
              </w:rPr>
              <w:fldChar w:fldCharType="separate"/>
            </w:r>
            <w:r>
              <w:rPr>
                <w:rFonts w:hint="default" w:ascii="Calibri" w:hAnsi="Calibri" w:eastAsia="Times New Roman" w:cs="Calibri"/>
                <w:b/>
                <w:sz w:val="20"/>
                <w:szCs w:val="24"/>
              </w:rPr>
              <w:t>22.774,00</w:t>
            </w:r>
            <w:r>
              <w:rPr>
                <w:rFonts w:hint="default" w:ascii="Calibri" w:hAnsi="Calibri" w:eastAsia="Times New Roman" w:cs="Calibri"/>
                <w:b/>
                <w:sz w:val="20"/>
                <w:szCs w:val="24"/>
              </w:rPr>
              <w:fldChar w:fldCharType="end"/>
            </w:r>
          </w:p>
        </w:tc>
      </w:tr>
    </w:tbl>
    <w:p>
      <w:pPr>
        <w:spacing w:beforeLines="0" w:afterLines="0"/>
        <w:jc w:val="left"/>
        <w:rPr>
          <w:rFonts w:hint="default"/>
          <w:sz w:val="22"/>
          <w:szCs w:val="24"/>
        </w:rPr>
      </w:pPr>
      <w:r>
        <w:rPr>
          <w:rFonts w:hint="default"/>
          <w:sz w:val="22"/>
          <w:szCs w:val="24"/>
        </w:rPr>
        <w:t>3.2 Os preços fixados nesta clausula, são considerados completos, abrangendo todos</w:t>
      </w:r>
      <w:r>
        <w:rPr>
          <w:rFonts w:hint="default"/>
          <w:sz w:val="22"/>
          <w:szCs w:val="24"/>
          <w:lang w:val="pt-BR"/>
        </w:rPr>
        <w:t xml:space="preserve"> </w:t>
      </w:r>
      <w:r>
        <w:rPr>
          <w:rFonts w:hint="default"/>
          <w:sz w:val="22"/>
          <w:szCs w:val="24"/>
        </w:rPr>
        <w:t>os custos.</w:t>
      </w:r>
    </w:p>
    <w:p>
      <w:pPr>
        <w:spacing w:beforeLines="0" w:afterLines="0"/>
        <w:jc w:val="both"/>
        <w:rPr>
          <w:rFonts w:hint="default"/>
          <w:sz w:val="22"/>
          <w:szCs w:val="24"/>
        </w:rPr>
      </w:pPr>
      <w:r>
        <w:rPr>
          <w:rFonts w:hint="default"/>
          <w:sz w:val="22"/>
          <w:szCs w:val="24"/>
        </w:rPr>
        <w:t>3.3 Nenhum pagamento isentará a contratada de suas responsabilidades, nem implicará na sua aceitação definitiva do objeto.</w:t>
      </w:r>
    </w:p>
    <w:p>
      <w:pPr>
        <w:spacing w:beforeLines="0" w:afterLines="0"/>
        <w:jc w:val="both"/>
        <w:rPr>
          <w:rFonts w:hint="default"/>
          <w:sz w:val="22"/>
          <w:szCs w:val="24"/>
        </w:rPr>
      </w:pPr>
      <w:r>
        <w:rPr>
          <w:rFonts w:hint="default"/>
          <w:sz w:val="22"/>
          <w:szCs w:val="24"/>
        </w:rPr>
        <w:t>3.4 Todo e qualquer atraso ocorrido por parte da “PROMITENTE FORNECEDORA”, implicará em atraso proporcional no pagamento, sem quaisquer ônus adicionais para o CONTRATANTE.</w:t>
      </w:r>
    </w:p>
    <w:p>
      <w:pPr>
        <w:spacing w:beforeLines="0" w:afterLines="0"/>
        <w:jc w:val="both"/>
        <w:rPr>
          <w:rFonts w:hint="default"/>
          <w:sz w:val="22"/>
          <w:szCs w:val="24"/>
        </w:rPr>
      </w:pPr>
      <w:r>
        <w:rPr>
          <w:rFonts w:hint="default"/>
          <w:sz w:val="22"/>
          <w:szCs w:val="24"/>
        </w:rPr>
        <w:t>3.5 Quando do fornecimento do objeto, caso este não corresponda à especificação exigida no Edital e nesta Ata, a “PROMITENTE FORNECEDORA”, deverá providenciar, de imediato sua correção visando ao atendimento das especificações, sem prejuízo das cominações previstas nesta Ata, nas Leis 10.520/02 e 8.666/93 e alterações posteriores.</w:t>
      </w:r>
    </w:p>
    <w:p>
      <w:pPr>
        <w:spacing w:beforeLines="0" w:afterLines="0"/>
        <w:jc w:val="both"/>
        <w:rPr>
          <w:rFonts w:hint="default"/>
          <w:sz w:val="22"/>
          <w:szCs w:val="24"/>
        </w:rPr>
      </w:pPr>
      <w:r>
        <w:rPr>
          <w:rFonts w:hint="default"/>
          <w:sz w:val="22"/>
          <w:szCs w:val="24"/>
        </w:rPr>
        <w:t>3.6 - Nos preços cotados deverão estar incluídas todas as despesas que influam nos custos, tais como: despesas com custo, transporte, seguro e frete, tributos (impostos, taxas, contribuições fiscais e parafiscais) obrigações sociais, trabalhistas, fiscais, frete, encargos comerciais ou de qualquer natureza e todos os ônus diretos, especificados ou não no edital e contrato.</w:t>
      </w:r>
    </w:p>
    <w:p>
      <w:pPr>
        <w:spacing w:beforeLines="0" w:afterLines="0"/>
        <w:jc w:val="both"/>
        <w:rPr>
          <w:rFonts w:hint="default"/>
          <w:sz w:val="22"/>
          <w:szCs w:val="24"/>
        </w:rPr>
      </w:pPr>
      <w:r>
        <w:rPr>
          <w:rFonts w:hint="default"/>
          <w:sz w:val="22"/>
          <w:szCs w:val="24"/>
        </w:rPr>
        <w:t>3.7 - O pagamento será efetuado em até 30 (trinta) dias após e emissão da nota fiscal e recebimento dos produtos.</w:t>
      </w:r>
    </w:p>
    <w:p>
      <w:pPr>
        <w:spacing w:beforeLines="0" w:afterLines="0"/>
        <w:jc w:val="both"/>
        <w:rPr>
          <w:rFonts w:hint="default"/>
          <w:sz w:val="22"/>
          <w:szCs w:val="24"/>
        </w:rPr>
      </w:pPr>
      <w:r>
        <w:rPr>
          <w:rFonts w:hint="default"/>
          <w:sz w:val="22"/>
          <w:szCs w:val="24"/>
        </w:rPr>
        <w:t>3.8 - Não será efetuado qualquer pagamento a “PROMITENTE FORNECEDORA” enquanto houver pendência de liquidação da obrigação financeira em virtude de penalidade ou inadimplência contratual.</w:t>
      </w:r>
    </w:p>
    <w:p>
      <w:pPr>
        <w:spacing w:beforeLines="0" w:afterLines="0"/>
        <w:jc w:val="both"/>
        <w:rPr>
          <w:rFonts w:hint="default"/>
          <w:sz w:val="22"/>
          <w:szCs w:val="24"/>
        </w:rPr>
      </w:pPr>
      <w:r>
        <w:rPr>
          <w:rFonts w:hint="default"/>
          <w:sz w:val="22"/>
          <w:szCs w:val="24"/>
        </w:rPr>
        <w:t>Obs. No caso de incorreção, será devolvida e o prazo para pagamento contar-se-á dadata de reapresentação da mesma.</w:t>
      </w:r>
    </w:p>
    <w:p>
      <w:pPr>
        <w:spacing w:beforeLines="0" w:afterLines="0"/>
        <w:jc w:val="both"/>
        <w:rPr>
          <w:rFonts w:hint="default"/>
          <w:sz w:val="22"/>
          <w:szCs w:val="24"/>
        </w:rPr>
      </w:pPr>
    </w:p>
    <w:p>
      <w:pPr>
        <w:spacing w:beforeLines="0" w:afterLines="0"/>
        <w:jc w:val="both"/>
        <w:rPr>
          <w:rFonts w:hint="default"/>
          <w:b/>
          <w:sz w:val="22"/>
          <w:szCs w:val="24"/>
        </w:rPr>
      </w:pPr>
      <w:r>
        <w:rPr>
          <w:rFonts w:hint="default"/>
          <w:b/>
          <w:sz w:val="22"/>
          <w:szCs w:val="24"/>
        </w:rPr>
        <w:t>CLÁUSULA QUARTA – DO OBJETO.</w:t>
      </w:r>
    </w:p>
    <w:p>
      <w:pPr>
        <w:spacing w:beforeLines="0" w:afterLines="0"/>
        <w:jc w:val="both"/>
        <w:rPr>
          <w:rFonts w:hint="default"/>
          <w:sz w:val="22"/>
          <w:szCs w:val="24"/>
        </w:rPr>
      </w:pPr>
      <w:r>
        <w:rPr>
          <w:rFonts w:hint="default"/>
          <w:sz w:val="22"/>
          <w:szCs w:val="24"/>
        </w:rPr>
        <w:t>4.1. O objeto somente será aceito se atender claramente a descrição.</w:t>
      </w:r>
    </w:p>
    <w:p>
      <w:pPr>
        <w:spacing w:beforeLines="0" w:afterLines="0"/>
        <w:jc w:val="both"/>
        <w:rPr>
          <w:rFonts w:hint="default"/>
          <w:sz w:val="22"/>
          <w:szCs w:val="24"/>
        </w:rPr>
      </w:pPr>
      <w:r>
        <w:rPr>
          <w:rFonts w:hint="default"/>
          <w:sz w:val="22"/>
          <w:szCs w:val="24"/>
        </w:rPr>
        <w:t>4.2. A vencedora responderá pela qualidade dos materiais entregue e qualquer problema que surgir devido a sua má execução será sob sua responsabilidade.</w:t>
      </w:r>
    </w:p>
    <w:p>
      <w:pPr>
        <w:spacing w:beforeLines="0" w:afterLines="0"/>
        <w:jc w:val="both"/>
        <w:rPr>
          <w:rFonts w:hint="default"/>
          <w:sz w:val="22"/>
          <w:szCs w:val="24"/>
        </w:rPr>
      </w:pPr>
    </w:p>
    <w:p>
      <w:pPr>
        <w:spacing w:beforeLines="0" w:afterLines="0"/>
        <w:jc w:val="both"/>
        <w:rPr>
          <w:rFonts w:hint="default"/>
          <w:sz w:val="22"/>
          <w:szCs w:val="24"/>
        </w:rPr>
      </w:pPr>
      <w:r>
        <w:rPr>
          <w:rFonts w:hint="default"/>
          <w:b/>
          <w:sz w:val="22"/>
          <w:szCs w:val="24"/>
        </w:rPr>
        <w:t>CLÁUSULA QUINTA-OBRIGAÇÕES DA “PROMITENTE FORNECEDORA”.COMPETE A “PROMITENTE FORNECEDORA”</w:t>
      </w:r>
      <w:r>
        <w:rPr>
          <w:rFonts w:hint="default"/>
          <w:sz w:val="22"/>
          <w:szCs w:val="24"/>
        </w:rPr>
        <w:t>.</w:t>
      </w:r>
    </w:p>
    <w:p>
      <w:pPr>
        <w:spacing w:beforeLines="0" w:afterLines="0"/>
        <w:jc w:val="both"/>
        <w:rPr>
          <w:rFonts w:hint="default"/>
          <w:sz w:val="22"/>
          <w:szCs w:val="24"/>
        </w:rPr>
      </w:pPr>
      <w:r>
        <w:rPr>
          <w:rFonts w:hint="default"/>
          <w:sz w:val="22"/>
          <w:szCs w:val="24"/>
        </w:rPr>
        <w:t>5.1. Submeter-se à fiscalização do órgão responsável.</w:t>
      </w:r>
    </w:p>
    <w:p>
      <w:pPr>
        <w:spacing w:beforeLines="0" w:afterLines="0"/>
        <w:jc w:val="both"/>
        <w:rPr>
          <w:rFonts w:hint="default"/>
          <w:sz w:val="22"/>
          <w:szCs w:val="24"/>
        </w:rPr>
      </w:pPr>
      <w:r>
        <w:rPr>
          <w:rFonts w:hint="default"/>
          <w:sz w:val="22"/>
          <w:szCs w:val="24"/>
        </w:rPr>
        <w:t>5.2. Cumprir os prazos estabelecidos neste instrumento.</w:t>
      </w:r>
    </w:p>
    <w:p>
      <w:pPr>
        <w:spacing w:beforeLines="0" w:afterLines="0"/>
        <w:jc w:val="both"/>
        <w:rPr>
          <w:rFonts w:hint="default"/>
          <w:sz w:val="22"/>
          <w:szCs w:val="24"/>
        </w:rPr>
      </w:pPr>
      <w:r>
        <w:rPr>
          <w:rFonts w:hint="default"/>
          <w:sz w:val="22"/>
          <w:szCs w:val="24"/>
        </w:rPr>
        <w:t>5.3. Assumir responsabilidades legais, administrativas e técnicas pela entrega do objeto determinado pela CONTRATANTE.</w:t>
      </w:r>
    </w:p>
    <w:p>
      <w:pPr>
        <w:spacing w:beforeLines="0" w:afterLines="0"/>
        <w:jc w:val="both"/>
        <w:rPr>
          <w:rFonts w:hint="default"/>
          <w:sz w:val="22"/>
          <w:szCs w:val="24"/>
        </w:rPr>
      </w:pPr>
      <w:r>
        <w:rPr>
          <w:rFonts w:hint="default"/>
          <w:sz w:val="22"/>
          <w:szCs w:val="24"/>
        </w:rPr>
        <w:t>5.4. Pagar todos os tributos devidos, referentes à execução contratual.</w:t>
      </w:r>
    </w:p>
    <w:p>
      <w:pPr>
        <w:spacing w:beforeLines="0" w:afterLines="0"/>
        <w:jc w:val="both"/>
        <w:rPr>
          <w:rFonts w:hint="default"/>
          <w:sz w:val="22"/>
          <w:szCs w:val="24"/>
        </w:rPr>
      </w:pPr>
      <w:r>
        <w:rPr>
          <w:rFonts w:hint="default"/>
          <w:sz w:val="22"/>
          <w:szCs w:val="24"/>
        </w:rPr>
        <w:t>5.5. Responsabilizar-se, civil e/ou criminalmente, por todos os atos e omissões que seus empregados direta ou indiretamente, cometerem na área de fornecimento do objeto contratado, indenizando, se for o caso, a parte prejudicada.</w:t>
      </w:r>
    </w:p>
    <w:p>
      <w:pPr>
        <w:spacing w:beforeLines="0" w:afterLines="0"/>
        <w:jc w:val="both"/>
        <w:rPr>
          <w:rFonts w:hint="default"/>
          <w:sz w:val="22"/>
          <w:szCs w:val="24"/>
        </w:rPr>
      </w:pPr>
      <w:r>
        <w:rPr>
          <w:rFonts w:hint="default"/>
          <w:sz w:val="22"/>
          <w:szCs w:val="24"/>
        </w:rPr>
        <w:t>5.6. Providenciar as autorizações que se fizerem necessárias às atividades do fornecimento, junto aos órgãos competentes.</w:t>
      </w:r>
    </w:p>
    <w:p>
      <w:pPr>
        <w:spacing w:beforeLines="0" w:afterLines="0"/>
        <w:jc w:val="both"/>
        <w:rPr>
          <w:rFonts w:hint="default"/>
          <w:sz w:val="22"/>
          <w:szCs w:val="24"/>
        </w:rPr>
      </w:pPr>
      <w:r>
        <w:rPr>
          <w:rFonts w:hint="default"/>
          <w:sz w:val="22"/>
          <w:szCs w:val="24"/>
        </w:rPr>
        <w:t>5.7. Acatar prontamente as exigências e observações da fiscalização do órgão municipal competente.</w:t>
      </w:r>
    </w:p>
    <w:p>
      <w:pPr>
        <w:spacing w:beforeLines="0" w:afterLines="0"/>
        <w:jc w:val="both"/>
        <w:rPr>
          <w:rFonts w:hint="default"/>
          <w:sz w:val="22"/>
          <w:szCs w:val="24"/>
        </w:rPr>
      </w:pPr>
      <w:r>
        <w:rPr>
          <w:rFonts w:hint="default"/>
          <w:sz w:val="22"/>
          <w:szCs w:val="24"/>
        </w:rPr>
        <w:t>5.8. Consultar o órgão fiscalizador, com antecedência, quando houver necessidade de verificação de qualquer situação, a fim de não causar transtorno ou atraso quando a entrega do objeto.</w:t>
      </w:r>
    </w:p>
    <w:p>
      <w:pPr>
        <w:spacing w:beforeLines="0" w:afterLines="0"/>
        <w:jc w:val="both"/>
        <w:rPr>
          <w:rFonts w:hint="default"/>
          <w:sz w:val="22"/>
          <w:szCs w:val="24"/>
        </w:rPr>
      </w:pPr>
      <w:r>
        <w:rPr>
          <w:rFonts w:hint="default"/>
          <w:sz w:val="22"/>
          <w:szCs w:val="24"/>
        </w:rPr>
        <w:t>5.9. Cumprir fielmente as obrigações deste instrumento, sendo vedada qualquer transferência.</w:t>
      </w:r>
    </w:p>
    <w:p>
      <w:pPr>
        <w:spacing w:beforeLines="0" w:afterLines="0"/>
        <w:jc w:val="both"/>
        <w:rPr>
          <w:rFonts w:hint="default"/>
          <w:sz w:val="22"/>
          <w:szCs w:val="24"/>
        </w:rPr>
      </w:pPr>
    </w:p>
    <w:p>
      <w:pPr>
        <w:spacing w:beforeLines="0" w:afterLines="0"/>
        <w:jc w:val="both"/>
        <w:rPr>
          <w:rFonts w:hint="default"/>
          <w:b/>
          <w:sz w:val="22"/>
          <w:szCs w:val="24"/>
        </w:rPr>
      </w:pPr>
      <w:r>
        <w:rPr>
          <w:rFonts w:hint="default"/>
          <w:b/>
          <w:sz w:val="22"/>
          <w:szCs w:val="24"/>
        </w:rPr>
        <w:t>CLÁUSULA SEXTA – DAS OBRIGAÇÕES DAS PARTES</w:t>
      </w:r>
    </w:p>
    <w:p>
      <w:pPr>
        <w:spacing w:beforeLines="0" w:afterLines="0"/>
        <w:jc w:val="both"/>
        <w:rPr>
          <w:rFonts w:hint="default"/>
          <w:sz w:val="22"/>
          <w:szCs w:val="24"/>
        </w:rPr>
      </w:pPr>
      <w:r>
        <w:rPr>
          <w:rFonts w:hint="default"/>
          <w:sz w:val="22"/>
          <w:szCs w:val="24"/>
        </w:rPr>
        <w:t>6.1 Além das obrigações resultantes da observância da Lei 8.666/93, são obrigações da CONTRATADA:</w:t>
      </w:r>
    </w:p>
    <w:p>
      <w:pPr>
        <w:spacing w:beforeLines="0" w:afterLines="0"/>
        <w:jc w:val="both"/>
        <w:rPr>
          <w:rFonts w:hint="default"/>
          <w:sz w:val="22"/>
          <w:szCs w:val="24"/>
        </w:rPr>
      </w:pPr>
      <w:r>
        <w:rPr>
          <w:rFonts w:hint="default"/>
          <w:sz w:val="22"/>
          <w:szCs w:val="24"/>
        </w:rPr>
        <w:t>a) Realizar com seus próprios meios, o objeto deste edital, de acordo com as necessidades da Secretaria solicitante;</w:t>
      </w:r>
    </w:p>
    <w:p>
      <w:pPr>
        <w:spacing w:beforeLines="0" w:afterLines="0"/>
        <w:jc w:val="both"/>
        <w:rPr>
          <w:rFonts w:hint="default"/>
          <w:sz w:val="22"/>
          <w:szCs w:val="24"/>
        </w:rPr>
      </w:pPr>
      <w:r>
        <w:rPr>
          <w:rFonts w:hint="default"/>
          <w:sz w:val="22"/>
          <w:szCs w:val="24"/>
        </w:rPr>
        <w:t>b) Atender com prontidão as reclamações por parte do município.</w:t>
      </w:r>
    </w:p>
    <w:p>
      <w:pPr>
        <w:spacing w:beforeLines="0" w:afterLines="0"/>
        <w:jc w:val="both"/>
        <w:rPr>
          <w:rFonts w:hint="default"/>
          <w:sz w:val="22"/>
          <w:szCs w:val="24"/>
        </w:rPr>
      </w:pPr>
      <w:r>
        <w:rPr>
          <w:rFonts w:hint="default"/>
          <w:sz w:val="22"/>
          <w:szCs w:val="24"/>
        </w:rPr>
        <w:t>c) Manter todas as condições de habilitação exigidas na presente licitação.</w:t>
      </w:r>
    </w:p>
    <w:p>
      <w:pPr>
        <w:spacing w:beforeLines="0" w:afterLines="0"/>
        <w:jc w:val="both"/>
        <w:rPr>
          <w:rFonts w:hint="default"/>
          <w:sz w:val="22"/>
          <w:szCs w:val="24"/>
        </w:rPr>
      </w:pPr>
      <w:r>
        <w:rPr>
          <w:rFonts w:hint="default"/>
          <w:sz w:val="22"/>
          <w:szCs w:val="24"/>
        </w:rPr>
        <w:t>d) Responder pela segurança total do objeto licitado, sendo de sua responsabilidade qualquer dano ocorrido com durante o percurso.</w:t>
      </w:r>
    </w:p>
    <w:p>
      <w:pPr>
        <w:spacing w:beforeLines="0" w:afterLines="0"/>
        <w:jc w:val="both"/>
        <w:rPr>
          <w:rFonts w:hint="default"/>
          <w:sz w:val="22"/>
          <w:szCs w:val="24"/>
        </w:rPr>
      </w:pPr>
      <w:r>
        <w:rPr>
          <w:rFonts w:hint="default"/>
          <w:sz w:val="22"/>
          <w:szCs w:val="24"/>
        </w:rPr>
        <w:t>e) Permitir aos encarregados da fiscalização o livre acesso, em qualquer época, aos serviços contratados.</w:t>
      </w:r>
    </w:p>
    <w:p>
      <w:pPr>
        <w:spacing w:beforeLines="0" w:afterLines="0"/>
        <w:jc w:val="both"/>
        <w:rPr>
          <w:rFonts w:hint="default"/>
          <w:sz w:val="22"/>
          <w:szCs w:val="24"/>
        </w:rPr>
      </w:pPr>
      <w:r>
        <w:rPr>
          <w:rFonts w:hint="default"/>
          <w:sz w:val="22"/>
          <w:szCs w:val="24"/>
        </w:rPr>
        <w:t>f) Manter todas as despesas e tributos incidentes sobre os objetos entregues;</w:t>
      </w:r>
    </w:p>
    <w:p>
      <w:pPr>
        <w:spacing w:beforeLines="0" w:afterLines="0"/>
        <w:jc w:val="both"/>
        <w:rPr>
          <w:rFonts w:hint="default"/>
          <w:sz w:val="22"/>
          <w:szCs w:val="24"/>
        </w:rPr>
      </w:pPr>
      <w:r>
        <w:rPr>
          <w:rFonts w:hint="default"/>
          <w:sz w:val="22"/>
          <w:szCs w:val="24"/>
        </w:rPr>
        <w:t>g) Manter as condições de habilitação exigida na licitação durante a vigência do contrato.</w:t>
      </w:r>
    </w:p>
    <w:p>
      <w:pPr>
        <w:spacing w:beforeLines="0" w:afterLines="0"/>
        <w:jc w:val="both"/>
        <w:rPr>
          <w:rFonts w:hint="default"/>
          <w:sz w:val="22"/>
          <w:szCs w:val="24"/>
        </w:rPr>
      </w:pPr>
      <w:r>
        <w:rPr>
          <w:rFonts w:hint="default"/>
          <w:sz w:val="22"/>
          <w:szCs w:val="24"/>
        </w:rPr>
        <w:t>6.2 - Além das obrigações resultantes da observância da Lei 8.666/93, são obrigações da CONTRATANTE;</w:t>
      </w:r>
    </w:p>
    <w:p>
      <w:pPr>
        <w:spacing w:beforeLines="0" w:afterLines="0"/>
        <w:jc w:val="both"/>
        <w:rPr>
          <w:rFonts w:hint="default"/>
          <w:sz w:val="22"/>
          <w:szCs w:val="24"/>
        </w:rPr>
      </w:pPr>
      <w:r>
        <w:rPr>
          <w:rFonts w:hint="default"/>
          <w:sz w:val="22"/>
          <w:szCs w:val="24"/>
        </w:rPr>
        <w:t>a) Cumprir todos os compromissos financeiros assumidos com a “PROMITENTE FORNECEDORA” ;</w:t>
      </w:r>
    </w:p>
    <w:p>
      <w:pPr>
        <w:spacing w:beforeLines="0" w:afterLines="0"/>
        <w:jc w:val="both"/>
        <w:rPr>
          <w:rFonts w:hint="default"/>
          <w:sz w:val="22"/>
          <w:szCs w:val="24"/>
        </w:rPr>
      </w:pPr>
      <w:r>
        <w:rPr>
          <w:rFonts w:hint="default"/>
          <w:sz w:val="22"/>
          <w:szCs w:val="24"/>
        </w:rPr>
        <w:t>b) Notificar, formal e tempestivamente, a “PROMITENTE FORNECEDORA” sobre as irregularidades observadas no cumprimento deste documento.</w:t>
      </w:r>
    </w:p>
    <w:p>
      <w:pPr>
        <w:spacing w:beforeLines="0" w:afterLines="0"/>
        <w:jc w:val="both"/>
        <w:rPr>
          <w:rFonts w:hint="default"/>
          <w:sz w:val="22"/>
          <w:szCs w:val="24"/>
        </w:rPr>
      </w:pPr>
      <w:r>
        <w:rPr>
          <w:rFonts w:hint="default"/>
          <w:sz w:val="22"/>
          <w:szCs w:val="24"/>
        </w:rPr>
        <w:t>c) Notificar a “PROMITENTE FORNECEDORA” por escrito e com antecedência, sobre multas, penalidades e quaisquer débitos de sua responsabilidade;</w:t>
      </w:r>
    </w:p>
    <w:p>
      <w:pPr>
        <w:spacing w:beforeLines="0" w:afterLines="0"/>
        <w:jc w:val="both"/>
        <w:rPr>
          <w:rFonts w:hint="default"/>
          <w:sz w:val="22"/>
          <w:szCs w:val="24"/>
        </w:rPr>
      </w:pPr>
      <w:r>
        <w:rPr>
          <w:rFonts w:hint="default"/>
          <w:sz w:val="22"/>
          <w:szCs w:val="24"/>
        </w:rPr>
        <w:t xml:space="preserve">d) Aplicar as sanções administrativas contratuais pertinentes, em caso de inadimplemento. </w:t>
      </w:r>
    </w:p>
    <w:p>
      <w:pPr>
        <w:spacing w:beforeLines="0" w:afterLines="0"/>
        <w:jc w:val="both"/>
        <w:rPr>
          <w:rFonts w:hint="default"/>
          <w:sz w:val="22"/>
          <w:szCs w:val="24"/>
        </w:rPr>
      </w:pPr>
    </w:p>
    <w:p>
      <w:pPr>
        <w:spacing w:beforeLines="0" w:afterLines="0"/>
        <w:jc w:val="both"/>
        <w:rPr>
          <w:rFonts w:hint="default"/>
          <w:b/>
          <w:sz w:val="22"/>
          <w:szCs w:val="24"/>
        </w:rPr>
      </w:pPr>
      <w:r>
        <w:rPr>
          <w:rFonts w:hint="default"/>
          <w:b/>
          <w:sz w:val="22"/>
          <w:szCs w:val="24"/>
        </w:rPr>
        <w:t>CLAUSULA SÉTIMA - DA ENTREGA E PRAZOS</w:t>
      </w:r>
    </w:p>
    <w:p>
      <w:pPr>
        <w:spacing w:beforeLines="0" w:afterLines="0"/>
        <w:jc w:val="both"/>
        <w:rPr>
          <w:rFonts w:hint="default"/>
          <w:sz w:val="22"/>
          <w:szCs w:val="24"/>
        </w:rPr>
      </w:pPr>
      <w:r>
        <w:rPr>
          <w:rFonts w:hint="default"/>
          <w:sz w:val="22"/>
          <w:szCs w:val="24"/>
        </w:rPr>
        <w:t>7.1 - Os produtos deverão ser entregues no prazo máximo de 15 (quinze) dias após a homologação do certame.</w:t>
      </w:r>
    </w:p>
    <w:p>
      <w:pPr>
        <w:spacing w:beforeLines="0" w:afterLines="0"/>
        <w:jc w:val="both"/>
        <w:rPr>
          <w:rFonts w:hint="default"/>
          <w:sz w:val="22"/>
          <w:szCs w:val="24"/>
        </w:rPr>
      </w:pPr>
      <w:r>
        <w:rPr>
          <w:rFonts w:hint="default"/>
          <w:sz w:val="22"/>
          <w:szCs w:val="24"/>
        </w:rPr>
        <w:t>7. 2- “PROMITENTE FORNECEDORA” deverá atentar para a qualidade dos produtos a serem entregues, pois somente serão aceitos aqueles que estiverem dentro dos parâmetros solicitados, atendam aos padrões exigidos pelo Mercado, e que forem entregues de acordo com o estabelecido nos itens anteriores.</w:t>
      </w:r>
    </w:p>
    <w:p>
      <w:pPr>
        <w:spacing w:beforeLines="0" w:afterLines="0"/>
        <w:jc w:val="both"/>
        <w:rPr>
          <w:rFonts w:hint="default"/>
          <w:sz w:val="22"/>
          <w:szCs w:val="24"/>
        </w:rPr>
      </w:pPr>
      <w:r>
        <w:rPr>
          <w:rFonts w:hint="default"/>
          <w:sz w:val="22"/>
          <w:szCs w:val="24"/>
        </w:rPr>
        <w:t>7.3 - O município poderá gerar contrato desta Ata e sua validade seguirá em conformidade com o estabelecido nas Leis n.º 8666/93 e 8883/94.</w:t>
      </w:r>
    </w:p>
    <w:p>
      <w:pPr>
        <w:spacing w:beforeLines="0" w:afterLines="0"/>
        <w:jc w:val="both"/>
        <w:rPr>
          <w:rFonts w:hint="default"/>
          <w:sz w:val="22"/>
          <w:szCs w:val="24"/>
        </w:rPr>
      </w:pPr>
    </w:p>
    <w:p>
      <w:pPr>
        <w:spacing w:beforeLines="0" w:afterLines="0"/>
        <w:jc w:val="both"/>
        <w:rPr>
          <w:rFonts w:hint="default"/>
          <w:b/>
          <w:sz w:val="22"/>
          <w:szCs w:val="24"/>
        </w:rPr>
      </w:pPr>
      <w:r>
        <w:rPr>
          <w:rFonts w:hint="default"/>
          <w:b/>
          <w:sz w:val="22"/>
          <w:szCs w:val="24"/>
        </w:rPr>
        <w:t>CLÁUSULA OITAVA - SANÇÕES ADMINISTRATIVAS</w:t>
      </w:r>
    </w:p>
    <w:p>
      <w:pPr>
        <w:spacing w:beforeLines="0" w:afterLines="0"/>
        <w:jc w:val="both"/>
        <w:rPr>
          <w:rFonts w:hint="default"/>
          <w:sz w:val="22"/>
          <w:szCs w:val="24"/>
        </w:rPr>
      </w:pPr>
      <w:r>
        <w:rPr>
          <w:rFonts w:hint="default"/>
          <w:sz w:val="22"/>
          <w:szCs w:val="24"/>
        </w:rPr>
        <w:t>8.1. Pelo inadimplemento das obrigações, seja na condição de participante do pregão ou de contratante, as licitantes, conforme a infração, estarão sujeitas às seguintes penalidades:</w:t>
      </w:r>
    </w:p>
    <w:p>
      <w:pPr>
        <w:spacing w:beforeLines="0" w:afterLines="0"/>
        <w:jc w:val="both"/>
        <w:rPr>
          <w:rFonts w:hint="default"/>
          <w:sz w:val="22"/>
          <w:szCs w:val="24"/>
        </w:rPr>
      </w:pPr>
      <w:r>
        <w:rPr>
          <w:rFonts w:hint="default"/>
          <w:sz w:val="22"/>
          <w:szCs w:val="24"/>
        </w:rPr>
        <w:t>8.1.1. Deixar de apresentar a documentação exigida no certame: suspensão do direito de licitar e contratar com a Administração pelo prazo de até 2 anos e multa de até 10% sobre o valor do último lance ofertado;</w:t>
      </w:r>
    </w:p>
    <w:p>
      <w:pPr>
        <w:spacing w:beforeLines="0" w:afterLines="0"/>
        <w:jc w:val="both"/>
        <w:rPr>
          <w:rFonts w:hint="default"/>
          <w:sz w:val="22"/>
          <w:szCs w:val="24"/>
        </w:rPr>
      </w:pPr>
      <w:r>
        <w:rPr>
          <w:rFonts w:hint="default"/>
          <w:sz w:val="22"/>
          <w:szCs w:val="24"/>
        </w:rPr>
        <w:t>8.1.2 Manter comportamento inadequado durante o pregão: afastamento do certame e suspensão do direito de licitar e contratar com a Administração pelo prazo de 1 ano;</w:t>
      </w:r>
    </w:p>
    <w:p>
      <w:pPr>
        <w:spacing w:beforeLines="0" w:afterLines="0"/>
        <w:jc w:val="both"/>
        <w:rPr>
          <w:rFonts w:hint="default"/>
          <w:sz w:val="22"/>
          <w:szCs w:val="24"/>
        </w:rPr>
      </w:pPr>
      <w:r>
        <w:rPr>
          <w:rFonts w:hint="default"/>
          <w:sz w:val="22"/>
          <w:szCs w:val="24"/>
        </w:rPr>
        <w:t>8.1.3. Deixar de manter a proposta (recusa injustificada para contratar): suspensão do direito de licitar e contratar com a Administração pelo prazo de 1 ano e multa de 10% sobre o valor do último lance ofertado;</w:t>
      </w:r>
    </w:p>
    <w:p>
      <w:pPr>
        <w:spacing w:beforeLines="0" w:afterLines="0"/>
        <w:jc w:val="both"/>
        <w:rPr>
          <w:rFonts w:hint="default"/>
          <w:sz w:val="22"/>
          <w:szCs w:val="24"/>
        </w:rPr>
      </w:pPr>
      <w:r>
        <w:rPr>
          <w:rFonts w:hint="default"/>
          <w:sz w:val="22"/>
          <w:szCs w:val="24"/>
        </w:rPr>
        <w:t>8.1.4. Executar o objeto com irregularidades, passíveis de correção durante a execução e sem prejuízo ao resultado: advertência;</w:t>
      </w:r>
    </w:p>
    <w:p>
      <w:pPr>
        <w:spacing w:beforeLines="0" w:afterLines="0"/>
        <w:jc w:val="both"/>
        <w:rPr>
          <w:rFonts w:hint="default"/>
          <w:sz w:val="22"/>
          <w:szCs w:val="24"/>
        </w:rPr>
      </w:pPr>
      <w:r>
        <w:rPr>
          <w:rFonts w:hint="default"/>
          <w:sz w:val="22"/>
          <w:szCs w:val="24"/>
        </w:rPr>
        <w:t>8.1.5. Executar o objeto com atraso injustificado, até o limite de 03(três) dias, em uma única vez, após os quais será considerado como inexecução contratual: multa diária de 0,5% sobre o valor atualizado do contrato;</w:t>
      </w:r>
    </w:p>
    <w:p>
      <w:pPr>
        <w:spacing w:beforeLines="0" w:afterLines="0"/>
        <w:jc w:val="both"/>
        <w:rPr>
          <w:rFonts w:hint="default"/>
          <w:sz w:val="22"/>
          <w:szCs w:val="24"/>
        </w:rPr>
      </w:pPr>
      <w:r>
        <w:rPr>
          <w:rFonts w:hint="default"/>
          <w:sz w:val="22"/>
          <w:szCs w:val="24"/>
        </w:rPr>
        <w:t>8.1.6. Inexecução parcial do objeto: suspensão do direito de licitar e contratar com a Administração pelo prazo de até 3 anos e multa de até 8% sobre o valor correspondente ao montante não adimplido do contrato;</w:t>
      </w:r>
    </w:p>
    <w:p>
      <w:pPr>
        <w:spacing w:beforeLines="0" w:afterLines="0"/>
        <w:jc w:val="both"/>
        <w:rPr>
          <w:rFonts w:hint="default"/>
          <w:sz w:val="22"/>
          <w:szCs w:val="24"/>
        </w:rPr>
      </w:pPr>
      <w:r>
        <w:rPr>
          <w:rFonts w:hint="default"/>
          <w:sz w:val="22"/>
          <w:szCs w:val="24"/>
        </w:rPr>
        <w:t>8.1.7. Inexecução total do objeto: suspensão do direito de licitar e contratar com a Administração pelo prazo de 5 anos e multa de 10% sobre o valor atualizado do contrato;</w:t>
      </w:r>
    </w:p>
    <w:p>
      <w:pPr>
        <w:spacing w:beforeLines="0" w:afterLines="0"/>
        <w:jc w:val="both"/>
        <w:rPr>
          <w:rFonts w:hint="default"/>
          <w:sz w:val="22"/>
          <w:szCs w:val="24"/>
        </w:rPr>
      </w:pPr>
      <w:r>
        <w:rPr>
          <w:rFonts w:hint="default"/>
          <w:sz w:val="22"/>
          <w:szCs w:val="24"/>
        </w:rPr>
        <w:t>8.1.8. Causar prejuízo material resultante diretamente de execução do objeto: declaração de inidoneidade cumulada com a suspensão do direito de licitar e contratar com a Administração Pública pelo prazo de 5 anos e multa de 10% sobre o valor atualizado do contrato.</w:t>
      </w:r>
    </w:p>
    <w:p>
      <w:pPr>
        <w:spacing w:beforeLines="0" w:afterLines="0"/>
        <w:jc w:val="both"/>
        <w:rPr>
          <w:rFonts w:hint="default"/>
          <w:sz w:val="22"/>
          <w:szCs w:val="24"/>
        </w:rPr>
      </w:pPr>
      <w:r>
        <w:rPr>
          <w:rFonts w:hint="default"/>
          <w:sz w:val="22"/>
          <w:szCs w:val="24"/>
        </w:rPr>
        <w:t>8.2. As penalidades serão registradas no cadastro da contratada, quando for o caso.</w:t>
      </w:r>
    </w:p>
    <w:p>
      <w:pPr>
        <w:spacing w:beforeLines="0" w:afterLines="0"/>
        <w:jc w:val="both"/>
        <w:rPr>
          <w:rFonts w:hint="default"/>
          <w:sz w:val="22"/>
          <w:szCs w:val="24"/>
        </w:rPr>
      </w:pPr>
      <w:r>
        <w:rPr>
          <w:rFonts w:hint="default"/>
          <w:sz w:val="22"/>
          <w:szCs w:val="24"/>
        </w:rPr>
        <w:t>8.3. Nenhum pagamento será efetuado pela Administração enquanto pendente de liquidação qualquer obrigação financeira que for imposta ao fornecedor em virtude de penalidade ou inadimplência contratual.</w:t>
      </w:r>
    </w:p>
    <w:p>
      <w:pPr>
        <w:spacing w:beforeLines="0" w:afterLines="0"/>
        <w:jc w:val="both"/>
        <w:rPr>
          <w:rFonts w:hint="default"/>
          <w:sz w:val="22"/>
          <w:szCs w:val="24"/>
        </w:rPr>
      </w:pPr>
      <w:r>
        <w:rPr>
          <w:rFonts w:hint="default"/>
          <w:sz w:val="22"/>
          <w:szCs w:val="24"/>
        </w:rPr>
        <w:t>que for imposta ao fornecedor em virtude de penalidade ou inadimplência contratual.</w:t>
      </w:r>
    </w:p>
    <w:p>
      <w:pPr>
        <w:spacing w:beforeLines="0" w:afterLines="0"/>
        <w:jc w:val="both"/>
        <w:rPr>
          <w:rFonts w:hint="default"/>
          <w:sz w:val="22"/>
          <w:szCs w:val="24"/>
        </w:rPr>
      </w:pPr>
    </w:p>
    <w:p>
      <w:pPr>
        <w:spacing w:beforeLines="0" w:afterLines="0"/>
        <w:jc w:val="both"/>
        <w:rPr>
          <w:rFonts w:hint="default"/>
          <w:b/>
          <w:sz w:val="22"/>
          <w:szCs w:val="24"/>
        </w:rPr>
      </w:pPr>
      <w:r>
        <w:rPr>
          <w:rFonts w:hint="default"/>
          <w:b/>
          <w:sz w:val="22"/>
          <w:szCs w:val="24"/>
        </w:rPr>
        <w:t>CLÁUSULA NONA - RESCISÃO CANCELAMENTO DA ATA DE REGISTRO DE PREÇOS.</w:t>
      </w:r>
    </w:p>
    <w:p>
      <w:pPr>
        <w:spacing w:beforeLines="0" w:afterLines="0"/>
        <w:jc w:val="both"/>
        <w:rPr>
          <w:rFonts w:hint="default"/>
          <w:sz w:val="22"/>
          <w:szCs w:val="24"/>
        </w:rPr>
      </w:pPr>
      <w:r>
        <w:rPr>
          <w:rFonts w:hint="default"/>
          <w:sz w:val="22"/>
          <w:szCs w:val="24"/>
        </w:rPr>
        <w:t>9.1 A presente Ata será rescindida, sem que assistam quaisquer direitos de indenização à “PROMITENTE FORNECEDORA”, nas seguintes hipóteses:</w:t>
      </w:r>
    </w:p>
    <w:p>
      <w:pPr>
        <w:spacing w:beforeLines="0" w:afterLines="0"/>
        <w:jc w:val="both"/>
        <w:rPr>
          <w:rFonts w:hint="default"/>
          <w:sz w:val="22"/>
          <w:szCs w:val="24"/>
        </w:rPr>
      </w:pPr>
      <w:r>
        <w:rPr>
          <w:rFonts w:hint="default"/>
          <w:sz w:val="22"/>
          <w:szCs w:val="24"/>
        </w:rPr>
        <w:t>9.1.1 Descumprimento de qualquer cláusula contratual.</w:t>
      </w:r>
    </w:p>
    <w:p>
      <w:pPr>
        <w:spacing w:beforeLines="0" w:afterLines="0"/>
        <w:jc w:val="both"/>
        <w:rPr>
          <w:rFonts w:hint="default"/>
          <w:sz w:val="22"/>
          <w:szCs w:val="24"/>
        </w:rPr>
      </w:pPr>
      <w:r>
        <w:rPr>
          <w:rFonts w:hint="default"/>
          <w:sz w:val="22"/>
          <w:szCs w:val="24"/>
        </w:rPr>
        <w:t>9.1.2 Paralisação ao fornecimento do objeto contratado, salvo por motivo de força maior, comprovado e aceito pelo CONTRATANTE.</w:t>
      </w:r>
    </w:p>
    <w:p>
      <w:pPr>
        <w:spacing w:beforeLines="0" w:afterLines="0"/>
        <w:jc w:val="both"/>
        <w:rPr>
          <w:rFonts w:hint="default"/>
          <w:sz w:val="22"/>
          <w:szCs w:val="24"/>
        </w:rPr>
      </w:pPr>
      <w:r>
        <w:rPr>
          <w:rFonts w:hint="default"/>
          <w:sz w:val="22"/>
          <w:szCs w:val="24"/>
        </w:rPr>
        <w:t>9.1.3 Cometimento de reiteradas irregularidades quando do fornecimento do objeto contratado.</w:t>
      </w:r>
    </w:p>
    <w:p>
      <w:pPr>
        <w:spacing w:beforeLines="0" w:afterLines="0"/>
        <w:jc w:val="both"/>
        <w:rPr>
          <w:rFonts w:hint="default"/>
          <w:sz w:val="22"/>
          <w:szCs w:val="24"/>
        </w:rPr>
      </w:pPr>
      <w:r>
        <w:rPr>
          <w:rFonts w:hint="default"/>
          <w:sz w:val="22"/>
          <w:szCs w:val="24"/>
        </w:rPr>
        <w:t>9.1.4 Falta de recolhimento de tributos em geral, encargos sociais e previdenciários, relativos aos seus empregados.</w:t>
      </w:r>
    </w:p>
    <w:p>
      <w:pPr>
        <w:spacing w:beforeLines="0" w:afterLines="0"/>
        <w:jc w:val="both"/>
        <w:rPr>
          <w:rFonts w:hint="default"/>
          <w:sz w:val="22"/>
          <w:szCs w:val="24"/>
        </w:rPr>
      </w:pPr>
      <w:r>
        <w:rPr>
          <w:rFonts w:hint="default"/>
          <w:sz w:val="22"/>
          <w:szCs w:val="24"/>
        </w:rPr>
        <w:t>9.1.5 Desatendimento às determinações do CONTRATANTE quanto à aquisição e fornecimento do objeto contratado.</w:t>
      </w:r>
    </w:p>
    <w:p>
      <w:pPr>
        <w:spacing w:beforeLines="0" w:afterLines="0"/>
        <w:jc w:val="both"/>
        <w:rPr>
          <w:rFonts w:hint="default"/>
          <w:sz w:val="22"/>
          <w:szCs w:val="24"/>
        </w:rPr>
      </w:pPr>
      <w:r>
        <w:rPr>
          <w:rFonts w:hint="default"/>
          <w:sz w:val="22"/>
          <w:szCs w:val="24"/>
        </w:rPr>
        <w:t>9.1.6 Transferência a terceiros, total ou parcial, do objeto contratado.</w:t>
      </w:r>
    </w:p>
    <w:p>
      <w:pPr>
        <w:spacing w:beforeLines="0" w:afterLines="0"/>
        <w:jc w:val="both"/>
        <w:rPr>
          <w:rFonts w:hint="default"/>
          <w:sz w:val="22"/>
          <w:szCs w:val="24"/>
        </w:rPr>
      </w:pPr>
      <w:r>
        <w:rPr>
          <w:rFonts w:hint="default"/>
          <w:sz w:val="22"/>
          <w:szCs w:val="24"/>
        </w:rPr>
        <w:t>9.1.7 Dissolução da “PROMITENTE FORNECEDORA”.</w:t>
      </w:r>
    </w:p>
    <w:p>
      <w:pPr>
        <w:spacing w:beforeLines="0" w:afterLines="0"/>
        <w:jc w:val="both"/>
        <w:rPr>
          <w:rFonts w:hint="default"/>
          <w:sz w:val="22"/>
          <w:szCs w:val="24"/>
        </w:rPr>
      </w:pPr>
      <w:r>
        <w:rPr>
          <w:rFonts w:hint="default"/>
          <w:sz w:val="22"/>
          <w:szCs w:val="24"/>
        </w:rPr>
        <w:t>9.1.8 Alteração social ou modificações da finalidade ou estrutura da Empresa que prejudique a execução desta contratação.</w:t>
      </w:r>
    </w:p>
    <w:p>
      <w:pPr>
        <w:spacing w:beforeLines="0" w:afterLines="0"/>
        <w:jc w:val="both"/>
        <w:rPr>
          <w:rFonts w:hint="default"/>
          <w:sz w:val="22"/>
          <w:szCs w:val="24"/>
        </w:rPr>
      </w:pPr>
      <w:r>
        <w:rPr>
          <w:rFonts w:hint="default"/>
          <w:sz w:val="22"/>
          <w:szCs w:val="24"/>
        </w:rPr>
        <w:t>9.1.9 Razões de Interesse Público de alta relevância e amplo conhecimento, justificado e determinado pelo CONTRATANTE, em conformidade ao art. 78, XII da Lei 8.666/93, e posteriores alterações.</w:t>
      </w:r>
    </w:p>
    <w:p>
      <w:pPr>
        <w:spacing w:beforeLines="0" w:afterLines="0"/>
        <w:jc w:val="both"/>
        <w:rPr>
          <w:rFonts w:hint="default"/>
          <w:sz w:val="22"/>
          <w:szCs w:val="24"/>
        </w:rPr>
      </w:pPr>
      <w:r>
        <w:rPr>
          <w:rFonts w:hint="default"/>
          <w:sz w:val="22"/>
          <w:szCs w:val="24"/>
        </w:rPr>
        <w:t>9.1.10 Ocorrência de caso fortuito ou força maior, devidamente documentada, que impeça a execução contratual.</w:t>
      </w:r>
    </w:p>
    <w:p>
      <w:pPr>
        <w:spacing w:beforeLines="0" w:afterLines="0"/>
        <w:jc w:val="both"/>
        <w:rPr>
          <w:rFonts w:hint="default"/>
          <w:sz w:val="22"/>
          <w:szCs w:val="24"/>
        </w:rPr>
      </w:pPr>
      <w:r>
        <w:rPr>
          <w:rFonts w:hint="default"/>
          <w:sz w:val="22"/>
          <w:szCs w:val="24"/>
        </w:rPr>
        <w:t>9.2 Caso o CONTRATANTE não utilize a prerrogativa de rescindir a Ata, a seu exclusivo critério, poderá suspender a sua execução e/ou sustar o pagamento das faturas até que a “PROMITENTE FORNECEDORA”, cumpra integralmente a condição contratual infringida.</w:t>
      </w:r>
    </w:p>
    <w:p>
      <w:pPr>
        <w:spacing w:beforeLines="0" w:afterLines="0"/>
        <w:jc w:val="both"/>
        <w:rPr>
          <w:rFonts w:hint="default"/>
          <w:sz w:val="22"/>
          <w:szCs w:val="24"/>
        </w:rPr>
      </w:pPr>
      <w:r>
        <w:rPr>
          <w:rFonts w:hint="default"/>
          <w:sz w:val="22"/>
          <w:szCs w:val="24"/>
        </w:rPr>
        <w:t>9.3 Por acordo das partes, a presente Ata poderá ser rescindida, por conveniência do CONTRATANTE, não cabendo à “PROMITENTE FORNECEDORA”, nenhuma indenização e recebendo tão somente o valor das parcelas fornecidas até o ato rescisório, em conformidade ao art. 65, II da Lei 8.666/93.</w:t>
      </w:r>
    </w:p>
    <w:p>
      <w:pPr>
        <w:spacing w:beforeLines="0" w:afterLines="0"/>
        <w:jc w:val="both"/>
        <w:rPr>
          <w:rFonts w:hint="default"/>
          <w:sz w:val="22"/>
          <w:szCs w:val="24"/>
        </w:rPr>
      </w:pPr>
      <w:r>
        <w:rPr>
          <w:rFonts w:hint="default"/>
          <w:sz w:val="22"/>
          <w:szCs w:val="24"/>
        </w:rPr>
        <w:t>9.4 A “PROMITENTE FORNECEDORA”, reconhece os direitos do CONTRATANTE nos casos de rescisão, previstos nos artigos 77 a 80 da Lei 8.666/93 e alterações posteriores.</w:t>
      </w:r>
    </w:p>
    <w:p>
      <w:pPr>
        <w:spacing w:beforeLines="0" w:afterLines="0"/>
        <w:jc w:val="both"/>
        <w:rPr>
          <w:rFonts w:hint="default"/>
          <w:sz w:val="22"/>
          <w:szCs w:val="24"/>
        </w:rPr>
      </w:pPr>
      <w:r>
        <w:rPr>
          <w:rFonts w:hint="default"/>
          <w:sz w:val="22"/>
          <w:szCs w:val="24"/>
        </w:rPr>
        <w:t>10.5. A presente Ata de Registro de Preços será cancelada, automaticamente, por decurso de prazo de vigência ou quando não restarem fornecedores registrados e, por iniciativa do Gestor da Ata quando:</w:t>
      </w:r>
    </w:p>
    <w:p>
      <w:pPr>
        <w:spacing w:beforeLines="0" w:afterLines="0"/>
        <w:jc w:val="both"/>
        <w:rPr>
          <w:rFonts w:hint="default"/>
          <w:sz w:val="22"/>
          <w:szCs w:val="24"/>
        </w:rPr>
      </w:pPr>
      <w:r>
        <w:rPr>
          <w:rFonts w:hint="default"/>
          <w:sz w:val="22"/>
          <w:szCs w:val="24"/>
        </w:rPr>
        <w:t>9.5.1 A detentora não cumprir as obrigações constantes desta Ata;</w:t>
      </w:r>
    </w:p>
    <w:p>
      <w:pPr>
        <w:spacing w:beforeLines="0" w:afterLines="0"/>
        <w:jc w:val="both"/>
        <w:rPr>
          <w:rFonts w:hint="default"/>
          <w:sz w:val="22"/>
          <w:szCs w:val="24"/>
        </w:rPr>
      </w:pPr>
      <w:r>
        <w:rPr>
          <w:rFonts w:hint="default"/>
          <w:sz w:val="22"/>
          <w:szCs w:val="24"/>
        </w:rPr>
        <w:t>9.5.2 A detentora não retirar qualquer Ordem de Compra, no prazo estabelecido e a Administração não aceitar sua justificativa;</w:t>
      </w:r>
    </w:p>
    <w:p>
      <w:pPr>
        <w:spacing w:beforeLines="0" w:afterLines="0"/>
        <w:jc w:val="both"/>
        <w:rPr>
          <w:rFonts w:hint="default"/>
          <w:sz w:val="22"/>
          <w:szCs w:val="24"/>
        </w:rPr>
      </w:pPr>
      <w:r>
        <w:rPr>
          <w:rFonts w:hint="default"/>
          <w:sz w:val="22"/>
          <w:szCs w:val="24"/>
        </w:rPr>
        <w:t>9.5.3 A detentora der causa a rescisão administrativa de contrato decorrente de registro de preços, a critério do Município, observada a legislação em vigor.</w:t>
      </w:r>
    </w:p>
    <w:p>
      <w:pPr>
        <w:spacing w:beforeLines="0" w:afterLines="0"/>
        <w:jc w:val="both"/>
        <w:rPr>
          <w:rFonts w:hint="default"/>
          <w:sz w:val="22"/>
          <w:szCs w:val="24"/>
        </w:rPr>
      </w:pPr>
      <w:r>
        <w:rPr>
          <w:rFonts w:hint="default"/>
          <w:sz w:val="22"/>
          <w:szCs w:val="24"/>
        </w:rPr>
        <w:t>9.5.4 Em qualquer das hipóteses de inexecução total ou parcial de contrato decorrente de registro de preços, se assim for decidido pelo Município, com observância dasdisposições legais;</w:t>
      </w:r>
    </w:p>
    <w:p>
      <w:pPr>
        <w:spacing w:beforeLines="0" w:afterLines="0"/>
        <w:jc w:val="both"/>
        <w:rPr>
          <w:rFonts w:hint="default"/>
          <w:sz w:val="22"/>
          <w:szCs w:val="24"/>
        </w:rPr>
      </w:pPr>
      <w:r>
        <w:rPr>
          <w:rFonts w:hint="default"/>
          <w:sz w:val="22"/>
          <w:szCs w:val="24"/>
        </w:rPr>
        <w:t>9.5.5 Os preços registrados se apresentarem superiores aos praticados no mercado, e a detentora não acatar a revisão dos mesmos;</w:t>
      </w:r>
    </w:p>
    <w:p>
      <w:pPr>
        <w:spacing w:beforeLines="0" w:afterLines="0"/>
        <w:jc w:val="both"/>
        <w:rPr>
          <w:rFonts w:hint="default"/>
          <w:sz w:val="22"/>
          <w:szCs w:val="24"/>
        </w:rPr>
      </w:pPr>
      <w:r>
        <w:rPr>
          <w:rFonts w:hint="default"/>
          <w:sz w:val="22"/>
          <w:szCs w:val="24"/>
        </w:rPr>
        <w:t>9.5.6 Por razões de interesse público devidamente demonstradas e justificadas pela Administração.</w:t>
      </w:r>
    </w:p>
    <w:p>
      <w:pPr>
        <w:spacing w:beforeLines="0" w:afterLines="0"/>
        <w:jc w:val="both"/>
        <w:rPr>
          <w:rFonts w:hint="default"/>
          <w:sz w:val="22"/>
          <w:szCs w:val="24"/>
        </w:rPr>
      </w:pPr>
      <w:r>
        <w:rPr>
          <w:rFonts w:hint="default"/>
          <w:sz w:val="22"/>
          <w:szCs w:val="24"/>
        </w:rPr>
        <w:t>9.6 A comunicação do cancelamento do preço registrado, nos casos previstos neste item, será feita por correspondência com aviso de recebimento, juntando-se o comprovante ao processo de administração da presente Ata de Registro de Preços. No caso de ser ignorado, incerto ou inacessível o endereço da detentora, a comunicação será feita por publicação no Diário Oficial do Município por 01 (uma) vez, considerando-se</w:t>
      </w:r>
    </w:p>
    <w:p>
      <w:pPr>
        <w:spacing w:beforeLines="0" w:afterLines="0"/>
        <w:jc w:val="both"/>
        <w:rPr>
          <w:rFonts w:hint="default"/>
          <w:sz w:val="22"/>
          <w:szCs w:val="24"/>
        </w:rPr>
      </w:pPr>
      <w:r>
        <w:rPr>
          <w:rFonts w:hint="default"/>
          <w:sz w:val="22"/>
          <w:szCs w:val="24"/>
        </w:rPr>
        <w:t>cancelado o preço e registrado a partir da última publicação.</w:t>
      </w:r>
    </w:p>
    <w:p>
      <w:pPr>
        <w:spacing w:beforeLines="0" w:afterLines="0"/>
        <w:jc w:val="both"/>
        <w:rPr>
          <w:rFonts w:hint="default"/>
          <w:sz w:val="22"/>
          <w:szCs w:val="24"/>
        </w:rPr>
      </w:pPr>
      <w:r>
        <w:rPr>
          <w:rFonts w:hint="default"/>
          <w:sz w:val="22"/>
          <w:szCs w:val="24"/>
        </w:rPr>
        <w:t>9.7 Pela detentora, quando, mediante solicitação por escrito, comprovar estar impossibilitada de cumprir as exigências desta Ata de Registro de Preços, ou, a juízo do Município, quando comprovada a ocorrência de qualquer das hipóteses previstas no artigo 78, incisos XIII a XVI, da Lei Federal 8.666/93 e alterações.</w:t>
      </w:r>
    </w:p>
    <w:p>
      <w:pPr>
        <w:spacing w:beforeLines="0" w:afterLines="0"/>
        <w:jc w:val="both"/>
        <w:rPr>
          <w:rFonts w:hint="default"/>
          <w:sz w:val="22"/>
          <w:szCs w:val="24"/>
        </w:rPr>
      </w:pPr>
      <w:r>
        <w:rPr>
          <w:rFonts w:hint="default"/>
          <w:sz w:val="22"/>
          <w:szCs w:val="24"/>
        </w:rPr>
        <w:t>9.8 A solicitação da detentora para cancelamento dos preços registrados devera ser formulada com antecedência de 30 (trinta) dias, facultada a Administração a aplicação das penalidades previstas nesta edital, caso não aceitas as razões do pedido.</w:t>
      </w:r>
    </w:p>
    <w:p>
      <w:pPr>
        <w:spacing w:beforeLines="0" w:afterLines="0"/>
        <w:jc w:val="both"/>
        <w:rPr>
          <w:rFonts w:hint="default"/>
          <w:sz w:val="22"/>
          <w:szCs w:val="24"/>
        </w:rPr>
      </w:pPr>
    </w:p>
    <w:p>
      <w:pPr>
        <w:spacing w:beforeLines="0" w:afterLines="0"/>
        <w:jc w:val="both"/>
        <w:rPr>
          <w:rFonts w:hint="default"/>
          <w:b/>
          <w:sz w:val="22"/>
          <w:szCs w:val="24"/>
        </w:rPr>
      </w:pPr>
      <w:r>
        <w:rPr>
          <w:rFonts w:hint="default"/>
          <w:b/>
          <w:sz w:val="22"/>
          <w:szCs w:val="24"/>
        </w:rPr>
        <w:t>CLÁUSULA DÉCIMA  - DOTAÇÃO ORÇAMENTÁRIA:</w:t>
      </w:r>
    </w:p>
    <w:p>
      <w:pPr>
        <w:spacing w:beforeLines="0" w:afterLines="0"/>
        <w:jc w:val="both"/>
        <w:rPr>
          <w:rFonts w:hint="default"/>
          <w:sz w:val="22"/>
          <w:szCs w:val="24"/>
        </w:rPr>
      </w:pPr>
      <w:r>
        <w:rPr>
          <w:rFonts w:hint="default"/>
          <w:sz w:val="22"/>
          <w:szCs w:val="24"/>
        </w:rPr>
        <w:t xml:space="preserve">10.1 Os recursos necessários para cobertura das despesas desta ata serão por conta da seguinte dotação orçamentária: </w:t>
      </w:r>
    </w:p>
    <w:tbl>
      <w:tblPr>
        <w:tblStyle w:val="12"/>
        <w:tblW w:w="9600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854"/>
        <w:gridCol w:w="745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88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rPr>
                <w:rFonts w:hint="default"/>
                <w:b/>
                <w:sz w:val="22"/>
                <w:szCs w:val="24"/>
              </w:rPr>
            </w:pPr>
            <w:r>
              <w:rPr>
                <w:rFonts w:hint="default"/>
                <w:b/>
                <w:sz w:val="22"/>
                <w:szCs w:val="24"/>
              </w:rPr>
              <w:t xml:space="preserve"> Projeto/Despesa</w:t>
            </w:r>
          </w:p>
        </w:tc>
        <w:tc>
          <w:tcPr>
            <w:tcW w:w="7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default"/>
                <w:b/>
                <w:sz w:val="22"/>
                <w:szCs w:val="24"/>
              </w:rPr>
            </w:pPr>
            <w:r>
              <w:rPr>
                <w:rFonts w:hint="default"/>
                <w:b/>
                <w:sz w:val="22"/>
                <w:szCs w:val="24"/>
              </w:rPr>
              <w:t>RV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88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rPr>
                <w:rFonts w:hint="default"/>
                <w:sz w:val="22"/>
                <w:szCs w:val="24"/>
              </w:rPr>
            </w:pPr>
            <w:r>
              <w:rPr>
                <w:rFonts w:hint="default"/>
                <w:sz w:val="22"/>
                <w:szCs w:val="24"/>
              </w:rPr>
              <w:t xml:space="preserve"> 2030|3390.39.17.00.00.00 - Manutenção e Cons. de Máquinas e Equipamentos</w:t>
            </w:r>
          </w:p>
        </w:tc>
        <w:tc>
          <w:tcPr>
            <w:tcW w:w="7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default"/>
                <w:sz w:val="22"/>
                <w:szCs w:val="24"/>
              </w:rPr>
            </w:pPr>
            <w:r>
              <w:rPr>
                <w:rFonts w:hint="default"/>
                <w:sz w:val="22"/>
                <w:szCs w:val="24"/>
              </w:rPr>
              <w:t>1</w:t>
            </w:r>
          </w:p>
        </w:tc>
      </w:tr>
    </w:tbl>
    <w:p>
      <w:pPr>
        <w:spacing w:beforeLines="0" w:afterLines="0"/>
        <w:rPr>
          <w:rFonts w:hint="default"/>
          <w:sz w:val="22"/>
          <w:szCs w:val="24"/>
        </w:rPr>
      </w:pPr>
    </w:p>
    <w:p>
      <w:pPr>
        <w:spacing w:beforeLines="0" w:afterLines="0"/>
        <w:jc w:val="both"/>
        <w:rPr>
          <w:rFonts w:hint="default"/>
          <w:b/>
          <w:sz w:val="22"/>
          <w:szCs w:val="24"/>
        </w:rPr>
      </w:pPr>
      <w:r>
        <w:rPr>
          <w:rFonts w:hint="default"/>
          <w:b/>
          <w:sz w:val="22"/>
          <w:szCs w:val="24"/>
        </w:rPr>
        <w:t>CLÁUSULA DÉCIMA PRIMEIRA - DAS DISPOSIÇÕES GERAIS</w:t>
      </w:r>
    </w:p>
    <w:p>
      <w:pPr>
        <w:spacing w:beforeLines="0" w:afterLines="0"/>
        <w:jc w:val="both"/>
        <w:rPr>
          <w:rFonts w:hint="default"/>
          <w:sz w:val="22"/>
          <w:szCs w:val="24"/>
        </w:rPr>
      </w:pPr>
      <w:r>
        <w:rPr>
          <w:rFonts w:hint="default"/>
          <w:sz w:val="22"/>
          <w:szCs w:val="24"/>
        </w:rPr>
        <w:t>11.1 Fica(m) a(s) promitente(s) fornecedora(s), vinculada(s), até o término da Ata, às condições do Edital convocatório, seus Anexos e a sua proposta, que independentemente de traslado fazem parte integrante deste instrumento, no que não o contrariar.</w:t>
      </w:r>
    </w:p>
    <w:p>
      <w:pPr>
        <w:spacing w:beforeLines="0" w:afterLines="0"/>
        <w:jc w:val="both"/>
        <w:rPr>
          <w:rFonts w:hint="default"/>
          <w:sz w:val="22"/>
          <w:szCs w:val="24"/>
        </w:rPr>
      </w:pPr>
    </w:p>
    <w:p>
      <w:pPr>
        <w:spacing w:beforeLines="0" w:afterLines="0"/>
        <w:jc w:val="both"/>
        <w:rPr>
          <w:rFonts w:hint="default"/>
          <w:b/>
          <w:sz w:val="22"/>
          <w:szCs w:val="24"/>
        </w:rPr>
      </w:pPr>
      <w:r>
        <w:rPr>
          <w:rFonts w:hint="default"/>
          <w:b/>
          <w:sz w:val="22"/>
          <w:szCs w:val="24"/>
        </w:rPr>
        <w:t>CLÁUSULA DÉCIMA SEGUNDA – FORO</w:t>
      </w:r>
    </w:p>
    <w:p>
      <w:pPr>
        <w:spacing w:beforeLines="0" w:afterLines="0"/>
        <w:jc w:val="both"/>
        <w:rPr>
          <w:rFonts w:hint="default"/>
          <w:sz w:val="22"/>
          <w:szCs w:val="24"/>
        </w:rPr>
      </w:pPr>
      <w:r>
        <w:rPr>
          <w:rFonts w:hint="default"/>
          <w:sz w:val="22"/>
          <w:szCs w:val="24"/>
        </w:rPr>
        <w:t>12.1 Para dirimir eventuais dúvidas e/ou conflitos, oriundos da presente Ata fica eleito e convencionado o Foro da Comarca de Planalto, com renuncia a quaisquer outros por mais privilegiados que possam ser.</w:t>
      </w:r>
    </w:p>
    <w:p>
      <w:pPr>
        <w:spacing w:beforeLines="0" w:afterLines="0"/>
        <w:jc w:val="both"/>
        <w:rPr>
          <w:rFonts w:hint="default"/>
          <w:sz w:val="22"/>
          <w:szCs w:val="24"/>
        </w:rPr>
      </w:pPr>
      <w:r>
        <w:rPr>
          <w:rFonts w:hint="default"/>
          <w:sz w:val="22"/>
          <w:szCs w:val="24"/>
        </w:rPr>
        <w:t>E assim, por estarem justos e acordados, é firmada a presente Ata de Registro de Preços, que depois de lida e achada conforme, vai pelas partes assinada em 03 (três) vias de igual teor e forma na presença das testemunhas.</w:t>
      </w:r>
    </w:p>
    <w:p>
      <w:pPr>
        <w:spacing w:beforeLines="0" w:afterLines="0"/>
        <w:jc w:val="both"/>
        <w:rPr>
          <w:rFonts w:hint="default"/>
          <w:sz w:val="22"/>
          <w:szCs w:val="24"/>
        </w:rPr>
      </w:pPr>
      <w:r>
        <w:rPr>
          <w:rFonts w:hint="default"/>
          <w:sz w:val="22"/>
          <w:szCs w:val="24"/>
        </w:rPr>
        <w:t>Planalto/RS,</w:t>
      </w:r>
      <w:r>
        <w:rPr>
          <w:rFonts w:hint="default"/>
          <w:sz w:val="22"/>
          <w:szCs w:val="24"/>
          <w:lang w:val="pt-BR"/>
        </w:rPr>
        <w:t xml:space="preserve"> 24 </w:t>
      </w:r>
      <w:r>
        <w:rPr>
          <w:rFonts w:hint="default"/>
          <w:sz w:val="22"/>
          <w:szCs w:val="24"/>
        </w:rPr>
        <w:t xml:space="preserve">de </w:t>
      </w:r>
      <w:r>
        <w:rPr>
          <w:rFonts w:hint="default"/>
          <w:sz w:val="22"/>
          <w:szCs w:val="24"/>
          <w:lang w:val="pt-BR"/>
        </w:rPr>
        <w:t>maio</w:t>
      </w:r>
      <w:r>
        <w:rPr>
          <w:rFonts w:hint="default"/>
          <w:sz w:val="22"/>
          <w:szCs w:val="24"/>
        </w:rPr>
        <w:t xml:space="preserve"> de 2022.</w:t>
      </w:r>
    </w:p>
    <w:p>
      <w:pPr>
        <w:spacing w:beforeLines="0" w:afterLines="0"/>
        <w:jc w:val="both"/>
        <w:rPr>
          <w:rFonts w:hint="default"/>
          <w:sz w:val="22"/>
          <w:szCs w:val="24"/>
        </w:rPr>
      </w:pPr>
    </w:p>
    <w:p>
      <w:pPr>
        <w:spacing w:beforeLines="0" w:afterLines="0"/>
        <w:jc w:val="both"/>
        <w:rPr>
          <w:rFonts w:hint="default"/>
          <w:sz w:val="22"/>
          <w:szCs w:val="24"/>
        </w:rPr>
      </w:pPr>
      <w:r>
        <w:rPr>
          <w:rFonts w:hint="default"/>
          <w:sz w:val="22"/>
          <w:szCs w:val="24"/>
          <w:lang w:val="pt-BR"/>
        </w:rPr>
        <w:t>BRITAGEM E ENGENHARIA BASSO MC LTDA</w:t>
      </w:r>
      <w:r>
        <w:rPr>
          <w:rFonts w:hint="default"/>
          <w:sz w:val="22"/>
          <w:szCs w:val="24"/>
        </w:rPr>
        <w:tab/>
      </w:r>
      <w:r>
        <w:rPr>
          <w:rFonts w:hint="default"/>
          <w:sz w:val="22"/>
          <w:szCs w:val="24"/>
        </w:rPr>
        <w:tab/>
      </w:r>
      <w:r>
        <w:rPr>
          <w:rFonts w:hint="default"/>
          <w:sz w:val="22"/>
          <w:szCs w:val="24"/>
        </w:rPr>
        <w:tab/>
      </w:r>
      <w:r>
        <w:rPr>
          <w:rFonts w:hint="default"/>
          <w:sz w:val="22"/>
          <w:szCs w:val="24"/>
        </w:rPr>
        <w:t xml:space="preserve">              CRISTIANO GNOATTO</w:t>
      </w:r>
    </w:p>
    <w:p>
      <w:pPr>
        <w:spacing w:beforeLines="0" w:afterLines="0"/>
        <w:jc w:val="both"/>
        <w:rPr>
          <w:rFonts w:hint="default"/>
          <w:sz w:val="22"/>
          <w:szCs w:val="24"/>
        </w:rPr>
      </w:pPr>
      <w:r>
        <w:rPr>
          <w:rFonts w:hint="default"/>
          <w:sz w:val="22"/>
          <w:szCs w:val="24"/>
        </w:rPr>
        <w:t xml:space="preserve">CONTRATADA </w:t>
      </w:r>
      <w:r>
        <w:rPr>
          <w:rFonts w:hint="default"/>
          <w:sz w:val="22"/>
          <w:szCs w:val="24"/>
        </w:rPr>
        <w:tab/>
      </w:r>
      <w:r>
        <w:rPr>
          <w:rFonts w:hint="default"/>
          <w:sz w:val="22"/>
          <w:szCs w:val="24"/>
        </w:rPr>
        <w:tab/>
      </w:r>
      <w:r>
        <w:rPr>
          <w:rFonts w:hint="default"/>
          <w:sz w:val="22"/>
          <w:szCs w:val="24"/>
        </w:rPr>
        <w:tab/>
      </w:r>
      <w:r>
        <w:rPr>
          <w:rFonts w:hint="default"/>
          <w:sz w:val="22"/>
          <w:szCs w:val="24"/>
        </w:rPr>
        <w:tab/>
      </w:r>
      <w:r>
        <w:rPr>
          <w:rFonts w:hint="default"/>
          <w:sz w:val="22"/>
          <w:szCs w:val="24"/>
        </w:rPr>
        <w:tab/>
      </w:r>
      <w:r>
        <w:rPr>
          <w:rFonts w:hint="default"/>
          <w:sz w:val="22"/>
          <w:szCs w:val="24"/>
          <w:lang w:val="pt-BR"/>
        </w:rPr>
        <w:t xml:space="preserve">                              </w:t>
      </w:r>
      <w:r>
        <w:rPr>
          <w:rFonts w:hint="default"/>
          <w:sz w:val="22"/>
          <w:szCs w:val="24"/>
        </w:rPr>
        <w:t>PREFEITO MUNICIPAL</w:t>
      </w:r>
    </w:p>
    <w:p>
      <w:pPr>
        <w:spacing w:beforeLines="0" w:afterLines="0"/>
        <w:jc w:val="both"/>
        <w:rPr>
          <w:rFonts w:hint="default"/>
          <w:sz w:val="22"/>
          <w:szCs w:val="24"/>
        </w:rPr>
      </w:pPr>
    </w:p>
    <w:p>
      <w:pPr>
        <w:spacing w:beforeLines="0" w:afterLines="0"/>
        <w:jc w:val="both"/>
        <w:rPr>
          <w:rFonts w:hint="default"/>
          <w:sz w:val="22"/>
          <w:szCs w:val="24"/>
        </w:rPr>
      </w:pPr>
      <w:r>
        <w:rPr>
          <w:rFonts w:hint="default"/>
          <w:sz w:val="22"/>
          <w:szCs w:val="24"/>
        </w:rPr>
        <w:t>Testemunhas:</w:t>
      </w:r>
      <w:r>
        <w:rPr>
          <w:rFonts w:hint="default"/>
          <w:sz w:val="22"/>
          <w:szCs w:val="24"/>
          <w:lang w:val="pt-BR"/>
        </w:rPr>
        <w:t xml:space="preserve">   </w:t>
      </w:r>
      <w:r>
        <w:rPr>
          <w:rFonts w:hint="default"/>
          <w:sz w:val="22"/>
          <w:szCs w:val="24"/>
        </w:rPr>
        <w:t xml:space="preserve">1º:________________________ </w:t>
      </w:r>
    </w:p>
    <w:p>
      <w:pPr>
        <w:spacing w:beforeLines="0" w:afterLines="0"/>
        <w:ind w:firstLine="1540" w:firstLineChars="700"/>
        <w:jc w:val="both"/>
      </w:pPr>
      <w:r>
        <w:rPr>
          <w:rFonts w:hint="default"/>
          <w:sz w:val="22"/>
          <w:szCs w:val="24"/>
        </w:rPr>
        <w:t>2º:__________________________</w:t>
      </w:r>
      <w:bookmarkStart w:id="0" w:name="_GoBack"/>
      <w:bookmarkEnd w:id="0"/>
    </w:p>
    <w:sectPr>
      <w:pgSz w:w="11907" w:h="16840" w:orient="landscape"/>
      <w:pgMar w:top="2835" w:right="1134" w:bottom="1814" w:left="1134" w:header="254" w:footer="254" w:gutter="0"/>
      <w:lnNumType w:countBy="0" w:distance="360"/>
      <w:cols w:space="720" w:num="1"/>
      <w:rtlGutter w:val="0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Arial">
    <w:panose1 w:val="020B0604020202020204"/>
    <w:charset w:val="01"/>
    <w:family w:val="auto"/>
    <w:pitch w:val="default"/>
    <w:sig w:usb0="E0002EFF" w:usb1="C000785B" w:usb2="00000009" w:usb3="00000000" w:csb0="400001FF" w:csb1="FFFF0000"/>
  </w:font>
  <w:font w:name="Tahoma">
    <w:panose1 w:val="020B0604030504040204"/>
    <w:charset w:val="01"/>
    <w:family w:val="auto"/>
    <w:pitch w:val="default"/>
    <w:sig w:usb0="E1002EFF" w:usb1="C000605B" w:usb2="00000029" w:usb3="00000000" w:csb0="200101FF" w:csb1="20280000"/>
  </w:font>
  <w:font w:name="Calibri">
    <w:panose1 w:val="020F0502020204030204"/>
    <w:charset w:val="01"/>
    <w:family w:val="auto"/>
    <w:pitch w:val="default"/>
    <w:sig w:usb0="E4002EFF" w:usb1="C000247B" w:usb2="00000009" w:usb3="00000000" w:csb0="200001FF" w:csb1="00000000"/>
  </w:font>
  <w:font w:name="Thorndale">
    <w:altName w:val="Microsoft YaHei"/>
    <w:panose1 w:val="00000000000000000000"/>
    <w:charset w:val="01"/>
    <w:family w:val="auto"/>
    <w:pitch w:val="default"/>
    <w:sig w:usb0="0135C0C8" w:usb1="0000007D" w:usb2="00000004" w:usb3="0135C0C8" w:csb0="0135BFBC" w:csb1="5C7D7A82"/>
  </w:font>
  <w:font w:name="Arial Narrow">
    <w:panose1 w:val="020B0606020202030204"/>
    <w:charset w:val="01"/>
    <w:family w:val="auto"/>
    <w:pitch w:val="default"/>
    <w:sig w:usb0="00000287" w:usb1="00000800" w:usb2="00000000" w:usb3="00000000" w:csb0="2000009F" w:csb1="DFD7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/>
      </w:pPr>
      <w:r>
        <w:separator/>
      </w:r>
    </w:p>
  </w:footnote>
  <w:footnote w:type="continuationSeparator" w:id="1">
    <w:p>
      <w:pPr>
        <w:spacing w:before="0"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bordersDoNotSurroundHeader w:val="1"/>
  <w:bordersDoNotSurroundFooter w:val="1"/>
  <w:documentProtection w:enforcement="0"/>
  <w:defaultTabStop w:val="420"/>
  <w:drawingGridVerticalSpacing w:val="156"/>
  <w:displayHorizontalDrawingGridEvery w:val="1"/>
  <w:displayVerticalDrawingGridEvery w:val="1"/>
  <w:characterSpacingControl w:val="compressPunctuation"/>
  <w:footnotePr>
    <w:footnote w:id="0"/>
    <w:footnote w:id="1"/>
  </w:foot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0037DFE"/>
    <w:rsid w:val="000408D9"/>
    <w:rsid w:val="00050A31"/>
    <w:rsid w:val="000716D2"/>
    <w:rsid w:val="00071AAB"/>
    <w:rsid w:val="000B259C"/>
    <w:rsid w:val="000B76C4"/>
    <w:rsid w:val="000C5610"/>
    <w:rsid w:val="000E6552"/>
    <w:rsid w:val="000F3A4F"/>
    <w:rsid w:val="000F59AC"/>
    <w:rsid w:val="001364FE"/>
    <w:rsid w:val="001368DD"/>
    <w:rsid w:val="00147DB3"/>
    <w:rsid w:val="001518A5"/>
    <w:rsid w:val="00170095"/>
    <w:rsid w:val="00170E4F"/>
    <w:rsid w:val="001743F4"/>
    <w:rsid w:val="00187C33"/>
    <w:rsid w:val="001936B7"/>
    <w:rsid w:val="00196AB1"/>
    <w:rsid w:val="001A629E"/>
    <w:rsid w:val="001A7B8E"/>
    <w:rsid w:val="001B34FD"/>
    <w:rsid w:val="00201333"/>
    <w:rsid w:val="00210FA7"/>
    <w:rsid w:val="00216417"/>
    <w:rsid w:val="00221840"/>
    <w:rsid w:val="002263CE"/>
    <w:rsid w:val="0026631D"/>
    <w:rsid w:val="0028105B"/>
    <w:rsid w:val="0028508B"/>
    <w:rsid w:val="002C2F53"/>
    <w:rsid w:val="002D4A07"/>
    <w:rsid w:val="0033518C"/>
    <w:rsid w:val="003437C2"/>
    <w:rsid w:val="0036428A"/>
    <w:rsid w:val="00377186"/>
    <w:rsid w:val="003A1C03"/>
    <w:rsid w:val="003E765A"/>
    <w:rsid w:val="00411BF7"/>
    <w:rsid w:val="00414627"/>
    <w:rsid w:val="00425D63"/>
    <w:rsid w:val="004308B3"/>
    <w:rsid w:val="004643D8"/>
    <w:rsid w:val="00476AE6"/>
    <w:rsid w:val="00497C24"/>
    <w:rsid w:val="004C7BA5"/>
    <w:rsid w:val="004E7628"/>
    <w:rsid w:val="004F48F2"/>
    <w:rsid w:val="00511417"/>
    <w:rsid w:val="005149B1"/>
    <w:rsid w:val="00552936"/>
    <w:rsid w:val="005647F2"/>
    <w:rsid w:val="005662D1"/>
    <w:rsid w:val="00573A09"/>
    <w:rsid w:val="005A4526"/>
    <w:rsid w:val="005C1B16"/>
    <w:rsid w:val="005D6CCA"/>
    <w:rsid w:val="005E53D0"/>
    <w:rsid w:val="006002EB"/>
    <w:rsid w:val="006128EF"/>
    <w:rsid w:val="006264B4"/>
    <w:rsid w:val="006318CD"/>
    <w:rsid w:val="00643033"/>
    <w:rsid w:val="00644CC3"/>
    <w:rsid w:val="00661468"/>
    <w:rsid w:val="006649F0"/>
    <w:rsid w:val="006716B7"/>
    <w:rsid w:val="0067245D"/>
    <w:rsid w:val="0068470E"/>
    <w:rsid w:val="006957CB"/>
    <w:rsid w:val="00695DCD"/>
    <w:rsid w:val="006A05CC"/>
    <w:rsid w:val="006A35A7"/>
    <w:rsid w:val="006A4E15"/>
    <w:rsid w:val="006D5108"/>
    <w:rsid w:val="007152D7"/>
    <w:rsid w:val="007333E1"/>
    <w:rsid w:val="00746C14"/>
    <w:rsid w:val="007C2C59"/>
    <w:rsid w:val="007C7003"/>
    <w:rsid w:val="00801F23"/>
    <w:rsid w:val="008020D4"/>
    <w:rsid w:val="00837632"/>
    <w:rsid w:val="008409BE"/>
    <w:rsid w:val="0085640F"/>
    <w:rsid w:val="008567AA"/>
    <w:rsid w:val="00892712"/>
    <w:rsid w:val="008A680A"/>
    <w:rsid w:val="008B0BB0"/>
    <w:rsid w:val="008C4BEC"/>
    <w:rsid w:val="008E6C4B"/>
    <w:rsid w:val="008F18C0"/>
    <w:rsid w:val="00907648"/>
    <w:rsid w:val="00930FDE"/>
    <w:rsid w:val="0093526A"/>
    <w:rsid w:val="00943754"/>
    <w:rsid w:val="0094391A"/>
    <w:rsid w:val="00984C93"/>
    <w:rsid w:val="00987CE1"/>
    <w:rsid w:val="009906A4"/>
    <w:rsid w:val="0099405C"/>
    <w:rsid w:val="009C600F"/>
    <w:rsid w:val="009D3723"/>
    <w:rsid w:val="009E04F2"/>
    <w:rsid w:val="00A03B7B"/>
    <w:rsid w:val="00A200C9"/>
    <w:rsid w:val="00A250D5"/>
    <w:rsid w:val="00A32F56"/>
    <w:rsid w:val="00A36028"/>
    <w:rsid w:val="00A42B73"/>
    <w:rsid w:val="00A6596A"/>
    <w:rsid w:val="00A825CA"/>
    <w:rsid w:val="00A91424"/>
    <w:rsid w:val="00AA2C77"/>
    <w:rsid w:val="00AC3FB9"/>
    <w:rsid w:val="00AC702A"/>
    <w:rsid w:val="00AD226F"/>
    <w:rsid w:val="00AD2CA7"/>
    <w:rsid w:val="00AE41C8"/>
    <w:rsid w:val="00B13A52"/>
    <w:rsid w:val="00B24CF4"/>
    <w:rsid w:val="00B26993"/>
    <w:rsid w:val="00B4570C"/>
    <w:rsid w:val="00B5208C"/>
    <w:rsid w:val="00B74876"/>
    <w:rsid w:val="00BB3A9B"/>
    <w:rsid w:val="00BB7C2B"/>
    <w:rsid w:val="00BC1664"/>
    <w:rsid w:val="00BC2546"/>
    <w:rsid w:val="00BD2FE4"/>
    <w:rsid w:val="00C04849"/>
    <w:rsid w:val="00C05085"/>
    <w:rsid w:val="00C11270"/>
    <w:rsid w:val="00C1593D"/>
    <w:rsid w:val="00C56C7E"/>
    <w:rsid w:val="00C73368"/>
    <w:rsid w:val="00C776A4"/>
    <w:rsid w:val="00C9393C"/>
    <w:rsid w:val="00CA2C6C"/>
    <w:rsid w:val="00CB4E5A"/>
    <w:rsid w:val="00CC0600"/>
    <w:rsid w:val="00CC78AC"/>
    <w:rsid w:val="00CF346E"/>
    <w:rsid w:val="00CF7953"/>
    <w:rsid w:val="00D07232"/>
    <w:rsid w:val="00D10245"/>
    <w:rsid w:val="00D21BDD"/>
    <w:rsid w:val="00D65F07"/>
    <w:rsid w:val="00D86641"/>
    <w:rsid w:val="00D92BB7"/>
    <w:rsid w:val="00DC76D2"/>
    <w:rsid w:val="00DD30ED"/>
    <w:rsid w:val="00E6404D"/>
    <w:rsid w:val="00E64C21"/>
    <w:rsid w:val="00E922C6"/>
    <w:rsid w:val="00EC24C6"/>
    <w:rsid w:val="00EE6444"/>
    <w:rsid w:val="00EF2933"/>
    <w:rsid w:val="00F05146"/>
    <w:rsid w:val="00F1115D"/>
    <w:rsid w:val="00F3513C"/>
    <w:rsid w:val="00F465C5"/>
    <w:rsid w:val="00F5180D"/>
    <w:rsid w:val="00F51B21"/>
    <w:rsid w:val="00F51D87"/>
    <w:rsid w:val="00F534DB"/>
    <w:rsid w:val="00F76337"/>
    <w:rsid w:val="00F8455C"/>
    <w:rsid w:val="00FE1EC4"/>
    <w:rsid w:val="00FF2C93"/>
    <w:rsid w:val="24D23F54"/>
    <w:rsid w:val="41C44C3F"/>
    <w:rsid w:val="617F76F8"/>
    <w:rsid w:val="705C05BD"/>
    <w:rsid w:val="7B871F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uiPriority="99" w:semiHidden="0" w:name="Normal"/>
    <w:lsdException w:uiPriority="99" w:semiHidden="0" w:name="heading 1"/>
    <w:lsdException w:uiPriority="99" w:semiHidden="0" w:name="heading 2"/>
    <w:lsdException w:uiPriority="99" w:semiHidden="0" w:name="heading 3"/>
    <w:lsdException w:uiPriority="99" w:semiHidden="0" w:name="heading 4"/>
    <w:lsdException w:uiPriority="99" w:semiHidden="0" w:name="heading 5"/>
    <w:lsdException w:uiPriority="99" w:semiHidden="0" w:name="heading 6"/>
    <w:lsdException w:uiPriority="99" w:semiHidden="0" w:name="heading 7"/>
    <w:lsdException w:uiPriority="99" w:semiHidden="0" w:name="heading 8"/>
    <w:lsdException w:uiPriority="99" w:semiHidden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iPriority="99" w:semiHidden="0" w:name="header"/>
    <w:lsdException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iPriority="99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iPriority="99" w:semiHidden="0" w:name="Body Text"/>
    <w:lsdException w:uiPriority="99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uiPriority="99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iPriority="99" w:semiHidden="0" w:name="Body Text 3"/>
    <w:lsdException w:uiPriority="99" w:semiHidden="0" w:name="Body Text Indent 2"/>
    <w:lsdException w:uiPriority="99" w:semiHidden="0" w:name="Body Text Indent 3"/>
    <w:lsdException w:unhideWhenUsed="0" w:uiPriority="0" w:semiHidden="0" w:name="Block Text"/>
    <w:lsdException w:uiPriority="99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iPriority="99" w:semiHidden="0" w:name="Document Map"/>
    <w:lsdException w:unhideWhenUsed="0" w:uiPriority="0" w:semiHidden="0" w:name="Plain Text"/>
    <w:lsdException w:unhideWhenUsed="0" w:uiPriority="0" w:semiHidden="0" w:name="E-mail Signature"/>
    <w:lsdException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iPriority="99" w:semiHidden="0" w:name="Balloon Text"/>
    <w:lsdException w:unhideWhenUsed="0" w:uiPriority="0" w:semiHidden="0" w:name="Table Grid"/>
    <w:lsdException w:unhideWhenUsed="0" w:uiPriority="0" w:semiHidden="0" w:name="Table Theme"/>
    <w:lsdException w:uiPriority="99" w:semiHidden="0" w:name="List Paragraph"/>
  </w:latentStyles>
  <w:style w:type="paragraph" w:default="1" w:styleId="1">
    <w:name w:val="Normal"/>
    <w:unhideWhenUsed/>
    <w:uiPriority w:val="99"/>
    <w:pPr>
      <w:widowControl w:val="0"/>
      <w:autoSpaceDE w:val="0"/>
      <w:autoSpaceDN w:val="0"/>
      <w:adjustRightInd w:val="0"/>
      <w:spacing w:beforeLines="0" w:afterLines="0"/>
    </w:pPr>
    <w:rPr>
      <w:rFonts w:hint="default"/>
      <w:sz w:val="22"/>
      <w:szCs w:val="24"/>
    </w:rPr>
  </w:style>
  <w:style w:type="paragraph" w:styleId="2">
    <w:name w:val="heading 1"/>
    <w:unhideWhenUsed/>
    <w:uiPriority w:val="99"/>
    <w:pPr>
      <w:widowControl w:val="0"/>
      <w:autoSpaceDE w:val="0"/>
      <w:autoSpaceDN w:val="0"/>
      <w:adjustRightInd w:val="0"/>
      <w:spacing w:beforeLines="0" w:afterLines="0"/>
    </w:pPr>
    <w:rPr>
      <w:rFonts w:hint="default"/>
      <w:sz w:val="28"/>
      <w:szCs w:val="24"/>
    </w:rPr>
  </w:style>
  <w:style w:type="paragraph" w:styleId="3">
    <w:name w:val="heading 2"/>
    <w:unhideWhenUsed/>
    <w:uiPriority w:val="99"/>
    <w:pPr>
      <w:widowControl w:val="0"/>
      <w:autoSpaceDE w:val="0"/>
      <w:autoSpaceDN w:val="0"/>
      <w:adjustRightInd w:val="0"/>
      <w:spacing w:beforeLines="0" w:afterLines="0"/>
    </w:pPr>
    <w:rPr>
      <w:rFonts w:hint="default"/>
      <w:b/>
      <w:sz w:val="24"/>
      <w:szCs w:val="24"/>
    </w:rPr>
  </w:style>
  <w:style w:type="paragraph" w:styleId="4">
    <w:name w:val="heading 3"/>
    <w:unhideWhenUsed/>
    <w:uiPriority w:val="99"/>
    <w:pPr>
      <w:widowControl w:val="0"/>
      <w:autoSpaceDE w:val="0"/>
      <w:autoSpaceDN w:val="0"/>
      <w:adjustRightInd w:val="0"/>
      <w:spacing w:beforeLines="0" w:afterLines="0"/>
      <w:jc w:val="both"/>
    </w:pPr>
    <w:rPr>
      <w:rFonts w:hint="default"/>
      <w:sz w:val="24"/>
      <w:szCs w:val="24"/>
    </w:rPr>
  </w:style>
  <w:style w:type="paragraph" w:styleId="5">
    <w:name w:val="heading 4"/>
    <w:unhideWhenUsed/>
    <w:uiPriority w:val="99"/>
    <w:pPr>
      <w:widowControl w:val="0"/>
      <w:autoSpaceDE w:val="0"/>
      <w:autoSpaceDN w:val="0"/>
      <w:adjustRightInd w:val="0"/>
      <w:spacing w:beforeLines="0" w:afterLines="0"/>
    </w:pPr>
    <w:rPr>
      <w:rFonts w:hint="default"/>
      <w:sz w:val="24"/>
      <w:szCs w:val="24"/>
    </w:rPr>
  </w:style>
  <w:style w:type="paragraph" w:styleId="6">
    <w:name w:val="heading 5"/>
    <w:unhideWhenUsed/>
    <w:uiPriority w:val="99"/>
    <w:pPr>
      <w:widowControl w:val="0"/>
      <w:autoSpaceDE w:val="0"/>
      <w:autoSpaceDN w:val="0"/>
      <w:adjustRightInd w:val="0"/>
      <w:spacing w:beforeLines="0" w:afterLines="0"/>
      <w:ind w:left="2832" w:firstLine="708"/>
    </w:pPr>
    <w:rPr>
      <w:rFonts w:hint="default"/>
      <w:b/>
      <w:sz w:val="28"/>
      <w:szCs w:val="24"/>
    </w:rPr>
  </w:style>
  <w:style w:type="paragraph" w:styleId="7">
    <w:name w:val="heading 6"/>
    <w:unhideWhenUsed/>
    <w:uiPriority w:val="99"/>
    <w:pPr>
      <w:widowControl w:val="0"/>
      <w:autoSpaceDE w:val="0"/>
      <w:autoSpaceDN w:val="0"/>
      <w:adjustRightInd w:val="0"/>
      <w:spacing w:beforeLines="0" w:afterLines="0"/>
      <w:jc w:val="center"/>
    </w:pPr>
    <w:rPr>
      <w:rFonts w:hint="default"/>
      <w:b/>
      <w:sz w:val="24"/>
      <w:szCs w:val="24"/>
    </w:rPr>
  </w:style>
  <w:style w:type="paragraph" w:styleId="8">
    <w:name w:val="heading 7"/>
    <w:unhideWhenUsed/>
    <w:uiPriority w:val="99"/>
    <w:pPr>
      <w:widowControl w:val="0"/>
      <w:autoSpaceDE w:val="0"/>
      <w:autoSpaceDN w:val="0"/>
      <w:adjustRightInd w:val="0"/>
      <w:spacing w:beforeLines="0" w:afterLines="0"/>
      <w:jc w:val="center"/>
    </w:pPr>
    <w:rPr>
      <w:rFonts w:hint="default" w:ascii="Arial" w:hAnsi="Arial"/>
      <w:sz w:val="24"/>
      <w:szCs w:val="24"/>
    </w:rPr>
  </w:style>
  <w:style w:type="paragraph" w:styleId="9">
    <w:name w:val="heading 8"/>
    <w:unhideWhenUsed/>
    <w:uiPriority w:val="99"/>
    <w:pPr>
      <w:widowControl w:val="0"/>
      <w:autoSpaceDE w:val="0"/>
      <w:autoSpaceDN w:val="0"/>
      <w:adjustRightInd w:val="0"/>
      <w:spacing w:beforeLines="0" w:afterLines="0"/>
      <w:ind w:right="-568"/>
      <w:jc w:val="center"/>
    </w:pPr>
    <w:rPr>
      <w:rFonts w:hint="default" w:ascii="Arial" w:hAnsi="Arial"/>
      <w:b/>
      <w:sz w:val="24"/>
      <w:szCs w:val="24"/>
    </w:rPr>
  </w:style>
  <w:style w:type="paragraph" w:styleId="10">
    <w:name w:val="heading 9"/>
    <w:unhideWhenUsed/>
    <w:uiPriority w:val="99"/>
    <w:pPr>
      <w:widowControl w:val="0"/>
      <w:autoSpaceDE w:val="0"/>
      <w:autoSpaceDN w:val="0"/>
      <w:adjustRightInd w:val="0"/>
      <w:spacing w:beforeLines="0" w:afterLines="0"/>
      <w:ind w:right="-568"/>
      <w:jc w:val="both"/>
    </w:pPr>
    <w:rPr>
      <w:rFonts w:hint="default" w:ascii="Arial" w:hAnsi="Arial"/>
      <w:b/>
      <w:sz w:val="24"/>
      <w:szCs w:val="24"/>
    </w:rPr>
  </w:style>
  <w:style w:type="character" w:default="1" w:styleId="11">
    <w:name w:val="Default Paragraph Font"/>
    <w:semiHidden/>
    <w:qFormat/>
    <w:uiPriority w:val="0"/>
  </w:style>
  <w:style w:type="table" w:default="1" w:styleId="1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13">
    <w:name w:val="Hyperlink"/>
    <w:unhideWhenUsed/>
    <w:uiPriority w:val="99"/>
    <w:rPr>
      <w:rFonts w:hAnsi="Times New Roman" w:eastAsia="Times New Roman"/>
      <w:shd w:val="clear"/>
    </w:rPr>
  </w:style>
  <w:style w:type="character" w:styleId="14">
    <w:name w:val="page number"/>
    <w:unhideWhenUsed/>
    <w:uiPriority w:val="99"/>
    <w:rPr>
      <w:rFonts w:hAnsi="Times New Roman" w:eastAsia="Times New Roman"/>
      <w:shd w:val="clear"/>
    </w:rPr>
  </w:style>
  <w:style w:type="paragraph" w:styleId="15">
    <w:name w:val="Body Text"/>
    <w:unhideWhenUsed/>
    <w:uiPriority w:val="99"/>
    <w:pPr>
      <w:widowControl w:val="0"/>
      <w:autoSpaceDE w:val="0"/>
      <w:autoSpaceDN w:val="0"/>
      <w:adjustRightInd w:val="0"/>
      <w:spacing w:beforeLines="0" w:afterLines="0"/>
      <w:jc w:val="both"/>
    </w:pPr>
    <w:rPr>
      <w:rFonts w:hint="default"/>
      <w:sz w:val="24"/>
      <w:szCs w:val="24"/>
    </w:rPr>
  </w:style>
  <w:style w:type="paragraph" w:styleId="16">
    <w:name w:val="Body Text Indent 2"/>
    <w:unhideWhenUsed/>
    <w:uiPriority w:val="99"/>
    <w:pPr>
      <w:widowControl w:val="0"/>
      <w:autoSpaceDE w:val="0"/>
      <w:autoSpaceDN w:val="0"/>
      <w:adjustRightInd w:val="0"/>
      <w:spacing w:beforeLines="0" w:afterLines="0"/>
      <w:ind w:firstLine="2977"/>
      <w:jc w:val="both"/>
    </w:pPr>
    <w:rPr>
      <w:rFonts w:hint="default"/>
      <w:sz w:val="28"/>
      <w:szCs w:val="24"/>
    </w:rPr>
  </w:style>
  <w:style w:type="paragraph" w:styleId="17">
    <w:name w:val="Normal (Web)"/>
    <w:unhideWhenUsed/>
    <w:uiPriority w:val="99"/>
    <w:pPr>
      <w:widowControl w:val="0"/>
      <w:autoSpaceDE w:val="0"/>
      <w:autoSpaceDN w:val="0"/>
      <w:adjustRightInd w:val="0"/>
      <w:spacing w:before="100" w:beforeLines="0" w:after="100" w:afterLines="0"/>
    </w:pPr>
    <w:rPr>
      <w:rFonts w:hint="default" w:ascii="Times New Roman" w:hAnsi="Times New Roman" w:eastAsia="Times New Roman"/>
      <w:sz w:val="24"/>
      <w:szCs w:val="24"/>
    </w:rPr>
  </w:style>
  <w:style w:type="paragraph" w:styleId="18">
    <w:name w:val="Body Text 3"/>
    <w:unhideWhenUsed/>
    <w:uiPriority w:val="99"/>
    <w:pPr>
      <w:widowControl w:val="0"/>
      <w:autoSpaceDE w:val="0"/>
      <w:autoSpaceDN w:val="0"/>
      <w:adjustRightInd w:val="0"/>
      <w:spacing w:beforeLines="0" w:after="120" w:afterLines="0"/>
    </w:pPr>
    <w:rPr>
      <w:rFonts w:hint="default"/>
      <w:sz w:val="16"/>
      <w:szCs w:val="24"/>
    </w:rPr>
  </w:style>
  <w:style w:type="paragraph" w:styleId="19">
    <w:name w:val="header"/>
    <w:unhideWhenUsed/>
    <w:uiPriority w:val="99"/>
    <w:pPr>
      <w:widowControl w:val="0"/>
      <w:autoSpaceDE w:val="0"/>
      <w:autoSpaceDN w:val="0"/>
      <w:adjustRightInd w:val="0"/>
      <w:spacing w:beforeLines="0" w:afterLines="0"/>
    </w:pPr>
    <w:rPr>
      <w:rFonts w:hint="default" w:ascii="Arial Narrow" w:hAnsi="Arial Narrow" w:eastAsia="Arial Narrow"/>
      <w:sz w:val="24"/>
      <w:szCs w:val="24"/>
    </w:rPr>
  </w:style>
  <w:style w:type="paragraph" w:styleId="20">
    <w:name w:val="footer"/>
    <w:unhideWhenUsed/>
    <w:uiPriority w:val="99"/>
    <w:pPr>
      <w:widowControl w:val="0"/>
      <w:autoSpaceDE w:val="0"/>
      <w:autoSpaceDN w:val="0"/>
      <w:adjustRightInd w:val="0"/>
      <w:spacing w:beforeLines="0" w:afterLines="0"/>
    </w:pPr>
    <w:rPr>
      <w:rFonts w:hint="default"/>
      <w:sz w:val="20"/>
      <w:szCs w:val="24"/>
    </w:rPr>
  </w:style>
  <w:style w:type="paragraph" w:styleId="21">
    <w:name w:val="Document Map"/>
    <w:unhideWhenUsed/>
    <w:uiPriority w:val="99"/>
    <w:pPr>
      <w:widowControl w:val="0"/>
      <w:shd w:val="clear" w:color="auto" w:fill="000080"/>
      <w:autoSpaceDE w:val="0"/>
      <w:autoSpaceDN w:val="0"/>
      <w:adjustRightInd w:val="0"/>
      <w:spacing w:beforeLines="0" w:afterLines="0"/>
    </w:pPr>
    <w:rPr>
      <w:rFonts w:hint="default" w:ascii="Tahoma" w:hAnsi="Tahoma" w:eastAsia="Tahoma"/>
      <w:sz w:val="20"/>
      <w:szCs w:val="24"/>
    </w:rPr>
  </w:style>
  <w:style w:type="paragraph" w:styleId="22">
    <w:name w:val="Body Text Indent 3"/>
    <w:unhideWhenUsed/>
    <w:uiPriority w:val="99"/>
    <w:pPr>
      <w:widowControl w:val="0"/>
      <w:autoSpaceDE w:val="0"/>
      <w:autoSpaceDN w:val="0"/>
      <w:adjustRightInd w:val="0"/>
      <w:spacing w:beforeLines="0" w:afterLines="0"/>
      <w:ind w:left="2977"/>
      <w:jc w:val="both"/>
    </w:pPr>
    <w:rPr>
      <w:rFonts w:hint="default"/>
      <w:sz w:val="28"/>
      <w:szCs w:val="24"/>
    </w:rPr>
  </w:style>
  <w:style w:type="paragraph" w:styleId="23">
    <w:name w:val="Balloon Text"/>
    <w:unhideWhenUsed/>
    <w:uiPriority w:val="99"/>
    <w:pPr>
      <w:widowControl w:val="0"/>
      <w:autoSpaceDE w:val="0"/>
      <w:autoSpaceDN w:val="0"/>
      <w:adjustRightInd w:val="0"/>
      <w:spacing w:beforeLines="0" w:afterLines="0"/>
    </w:pPr>
    <w:rPr>
      <w:rFonts w:hint="default" w:ascii="Tahoma" w:hAnsi="Tahoma" w:eastAsia="Tahoma"/>
      <w:sz w:val="16"/>
      <w:szCs w:val="24"/>
    </w:rPr>
  </w:style>
  <w:style w:type="paragraph" w:styleId="24">
    <w:name w:val="Subtitle"/>
    <w:unhideWhenUsed/>
    <w:uiPriority w:val="99"/>
    <w:pPr>
      <w:widowControl w:val="0"/>
      <w:autoSpaceDE w:val="0"/>
      <w:autoSpaceDN w:val="0"/>
      <w:adjustRightInd w:val="0"/>
      <w:spacing w:beforeLines="0" w:afterLines="0"/>
      <w:ind w:right="-341"/>
      <w:jc w:val="center"/>
    </w:pPr>
    <w:rPr>
      <w:rFonts w:hint="default"/>
      <w:b/>
      <w:sz w:val="24"/>
      <w:szCs w:val="24"/>
    </w:rPr>
  </w:style>
  <w:style w:type="paragraph" w:styleId="25">
    <w:name w:val="Body Text Indent"/>
    <w:unhideWhenUsed/>
    <w:uiPriority w:val="99"/>
    <w:pPr>
      <w:widowControl w:val="0"/>
      <w:autoSpaceDE w:val="0"/>
      <w:autoSpaceDN w:val="0"/>
      <w:adjustRightInd w:val="0"/>
      <w:spacing w:beforeLines="0" w:afterLines="0"/>
      <w:ind w:left="4962"/>
    </w:pPr>
    <w:rPr>
      <w:rFonts w:hint="default"/>
      <w:b/>
      <w:sz w:val="24"/>
      <w:szCs w:val="24"/>
    </w:rPr>
  </w:style>
  <w:style w:type="paragraph" w:styleId="26">
    <w:name w:val="List Paragraph"/>
    <w:unhideWhenUsed/>
    <w:uiPriority w:val="99"/>
    <w:pPr>
      <w:widowControl w:val="0"/>
      <w:autoSpaceDE w:val="0"/>
      <w:autoSpaceDN w:val="0"/>
      <w:adjustRightInd w:val="0"/>
      <w:spacing w:beforeLines="0" w:after="200" w:afterLines="0" w:line="276" w:lineRule="auto"/>
      <w:ind w:left="720"/>
    </w:pPr>
    <w:rPr>
      <w:rFonts w:hint="default" w:ascii="Calibri" w:hAnsi="Calibri" w:eastAsia="Calibri"/>
      <w:sz w:val="22"/>
      <w:szCs w:val="24"/>
    </w:rPr>
  </w:style>
  <w:style w:type="paragraph" w:customStyle="1" w:styleId="27">
    <w:name w:val="Subtítulo Char"/>
    <w:basedOn w:val="11"/>
    <w:unhideWhenUsed/>
    <w:uiPriority w:val="99"/>
    <w:pPr>
      <w:spacing w:beforeLines="0" w:afterLines="0"/>
    </w:pPr>
    <w:rPr>
      <w:rFonts w:hint="default"/>
      <w:b/>
      <w:sz w:val="24"/>
      <w:szCs w:val="24"/>
    </w:rPr>
  </w:style>
  <w:style w:type="paragraph" w:customStyle="1" w:styleId="28">
    <w:name w:val="TxBr_p6"/>
    <w:unhideWhenUsed/>
    <w:uiPriority w:val="99"/>
    <w:pPr>
      <w:widowControl w:val="0"/>
      <w:autoSpaceDE w:val="0"/>
      <w:autoSpaceDN w:val="0"/>
      <w:adjustRightInd w:val="0"/>
      <w:spacing w:beforeLines="0" w:afterLines="0" w:line="226" w:lineRule="atLeast"/>
      <w:ind w:left="930"/>
      <w:jc w:val="both"/>
    </w:pPr>
    <w:rPr>
      <w:rFonts w:hint="default"/>
      <w:sz w:val="20"/>
      <w:szCs w:val="24"/>
    </w:rPr>
  </w:style>
  <w:style w:type="paragraph" w:customStyle="1" w:styleId="29">
    <w:name w:val="TxBr_p5"/>
    <w:unhideWhenUsed/>
    <w:uiPriority w:val="99"/>
    <w:pPr>
      <w:widowControl w:val="0"/>
      <w:autoSpaceDE w:val="0"/>
      <w:autoSpaceDN w:val="0"/>
      <w:adjustRightInd w:val="0"/>
      <w:spacing w:beforeLines="0" w:afterLines="0" w:line="226" w:lineRule="atLeast"/>
      <w:ind w:left="919"/>
      <w:jc w:val="both"/>
    </w:pPr>
    <w:rPr>
      <w:rFonts w:hint="default"/>
      <w:sz w:val="20"/>
      <w:szCs w:val="24"/>
    </w:rPr>
  </w:style>
  <w:style w:type="paragraph" w:customStyle="1" w:styleId="30">
    <w:name w:val="Corpo de texto Char"/>
    <w:basedOn w:val="11"/>
    <w:unhideWhenUsed/>
    <w:uiPriority w:val="99"/>
    <w:pPr>
      <w:spacing w:beforeLines="0" w:afterLines="0"/>
    </w:pPr>
    <w:rPr>
      <w:rFonts w:hint="default" w:ascii="Tahoma" w:hAnsi="Tahoma" w:eastAsia="Tahoma"/>
      <w:sz w:val="24"/>
      <w:szCs w:val="24"/>
    </w:rPr>
  </w:style>
  <w:style w:type="paragraph" w:customStyle="1" w:styleId="31">
    <w:name w:val="WW-Recuo de corpo de texto 2"/>
    <w:unhideWhenUsed/>
    <w:uiPriority w:val="99"/>
    <w:pPr>
      <w:widowControl w:val="0"/>
      <w:autoSpaceDE w:val="0"/>
      <w:autoSpaceDN w:val="0"/>
      <w:adjustRightInd w:val="0"/>
      <w:spacing w:beforeLines="0" w:afterLines="0"/>
      <w:ind w:firstLine="567"/>
      <w:jc w:val="both"/>
    </w:pPr>
    <w:rPr>
      <w:rFonts w:hint="default" w:ascii="Thorndale" w:hAnsi="Thorndale" w:eastAsia="Thorndale"/>
      <w:color w:val="000000"/>
      <w:sz w:val="24"/>
      <w:szCs w:val="24"/>
    </w:rPr>
  </w:style>
  <w:style w:type="paragraph" w:customStyle="1" w:styleId="32">
    <w:name w:val="Corpo de texto 3 Char"/>
    <w:basedOn w:val="11"/>
    <w:unhideWhenUsed/>
    <w:uiPriority w:val="99"/>
    <w:pPr>
      <w:spacing w:beforeLines="0" w:afterLines="0"/>
    </w:pPr>
    <w:rPr>
      <w:rFonts w:hint="default"/>
      <w:sz w:val="16"/>
      <w:szCs w:val="24"/>
    </w:rPr>
  </w:style>
  <w:style w:type="paragraph" w:customStyle="1" w:styleId="33">
    <w:name w:val="Recuo de corpo de texto Char"/>
    <w:unhideWhenUsed/>
    <w:uiPriority w:val="99"/>
    <w:pPr>
      <w:widowControl w:val="0"/>
      <w:autoSpaceDE w:val="0"/>
      <w:autoSpaceDN w:val="0"/>
      <w:adjustRightInd w:val="0"/>
      <w:spacing w:beforeLines="0" w:afterLines="0"/>
    </w:pPr>
    <w:rPr>
      <w:rFonts w:hint="default"/>
      <w:sz w:val="22"/>
      <w:szCs w:val="24"/>
    </w:rPr>
  </w:style>
  <w:style w:type="paragraph" w:customStyle="1" w:styleId="34">
    <w:name w:val="TxBr_p4"/>
    <w:unhideWhenUsed/>
    <w:uiPriority w:val="99"/>
    <w:pPr>
      <w:widowControl w:val="0"/>
      <w:autoSpaceDE w:val="0"/>
      <w:autoSpaceDN w:val="0"/>
      <w:adjustRightInd w:val="0"/>
      <w:spacing w:beforeLines="0" w:afterLines="0" w:line="226" w:lineRule="atLeast"/>
      <w:ind w:left="919"/>
      <w:jc w:val="both"/>
    </w:pPr>
    <w:rPr>
      <w:rFonts w:hint="default"/>
      <w:sz w:val="20"/>
      <w:szCs w:val="24"/>
    </w:rPr>
  </w:style>
  <w:style w:type="paragraph" w:customStyle="1" w:styleId="35">
    <w:name w:val="TxBr_p1"/>
    <w:unhideWhenUsed/>
    <w:uiPriority w:val="99"/>
    <w:pPr>
      <w:widowControl w:val="0"/>
      <w:autoSpaceDE w:val="0"/>
      <w:autoSpaceDN w:val="0"/>
      <w:adjustRightInd w:val="0"/>
      <w:spacing w:beforeLines="0" w:afterLines="0" w:line="221" w:lineRule="atLeast"/>
      <w:jc w:val="both"/>
    </w:pPr>
    <w:rPr>
      <w:rFonts w:hint="default"/>
      <w:sz w:val="20"/>
      <w:szCs w:val="24"/>
    </w:rPr>
  </w:style>
  <w:style w:type="paragraph" w:customStyle="1" w:styleId="36">
    <w:name w:val="TxBr_p2"/>
    <w:unhideWhenUsed/>
    <w:uiPriority w:val="99"/>
    <w:pPr>
      <w:widowControl w:val="0"/>
      <w:autoSpaceDE w:val="0"/>
      <w:autoSpaceDN w:val="0"/>
      <w:adjustRightInd w:val="0"/>
      <w:spacing w:beforeLines="0" w:afterLines="0" w:line="240" w:lineRule="atLeast"/>
      <w:ind w:left="1003" w:hanging="515"/>
      <w:jc w:val="both"/>
    </w:pPr>
    <w:rPr>
      <w:rFonts w:hint="default"/>
      <w:sz w:val="20"/>
      <w:szCs w:val="24"/>
    </w:rPr>
  </w:style>
  <w:style w:type="paragraph" w:customStyle="1" w:styleId="37">
    <w:name w:val="TxBr_c3"/>
    <w:unhideWhenUsed/>
    <w:uiPriority w:val="99"/>
    <w:pPr>
      <w:widowControl w:val="0"/>
      <w:autoSpaceDE w:val="0"/>
      <w:autoSpaceDN w:val="0"/>
      <w:adjustRightInd w:val="0"/>
      <w:spacing w:beforeLines="0" w:afterLines="0" w:line="240" w:lineRule="atLeast"/>
      <w:jc w:val="center"/>
    </w:pPr>
    <w:rPr>
      <w:rFonts w:hint="default"/>
      <w:sz w:val="20"/>
      <w:szCs w:val="24"/>
    </w:rPr>
  </w:style>
  <w:style w:type="paragraph" w:customStyle="1" w:styleId="38">
    <w:name w:val="TxBr_c2"/>
    <w:unhideWhenUsed/>
    <w:uiPriority w:val="99"/>
    <w:pPr>
      <w:widowControl w:val="0"/>
      <w:autoSpaceDE w:val="0"/>
      <w:autoSpaceDN w:val="0"/>
      <w:adjustRightInd w:val="0"/>
      <w:spacing w:beforeLines="0" w:afterLines="0" w:line="240" w:lineRule="atLeast"/>
      <w:jc w:val="center"/>
    </w:pPr>
    <w:rPr>
      <w:rFonts w:hint="default"/>
      <w:sz w:val="20"/>
      <w:szCs w:val="24"/>
    </w:rPr>
  </w:style>
  <w:style w:type="paragraph" w:customStyle="1" w:styleId="39">
    <w:name w:val="Cabeçalho Char"/>
    <w:basedOn w:val="11"/>
    <w:unhideWhenUsed/>
    <w:uiPriority w:val="99"/>
    <w:pPr>
      <w:spacing w:beforeLines="0" w:afterLines="0"/>
    </w:pPr>
    <w:rPr>
      <w:rFonts w:hint="default"/>
      <w:sz w:val="22"/>
      <w:szCs w:val="24"/>
    </w:rPr>
  </w:style>
  <w:style w:type="paragraph" w:customStyle="1" w:styleId="40">
    <w:name w:val="Rodapé Char"/>
    <w:basedOn w:val="11"/>
    <w:unhideWhenUsed/>
    <w:uiPriority w:val="99"/>
    <w:pPr>
      <w:spacing w:beforeLines="0" w:afterLines="0"/>
    </w:pPr>
    <w:rPr>
      <w:rFonts w:hint="default"/>
      <w:sz w:val="22"/>
      <w:szCs w:val="24"/>
    </w:rPr>
  </w:style>
  <w:style w:type="paragraph" w:customStyle="1" w:styleId="41">
    <w:name w:val="Default"/>
    <w:unhideWhenUsed/>
    <w:uiPriority w:val="99"/>
    <w:pPr>
      <w:widowControl w:val="0"/>
      <w:autoSpaceDE w:val="0"/>
      <w:autoSpaceDN w:val="0"/>
      <w:adjustRightInd w:val="0"/>
      <w:spacing w:beforeLines="0" w:afterLines="0"/>
    </w:pPr>
    <w:rPr>
      <w:rFonts w:hint="default" w:ascii="Times New Roman" w:hAnsi="Times New Roman" w:eastAsia="Times New Roman"/>
      <w:color w:val="000000"/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33</TotalTime>
  <ScaleCrop>false</ScaleCrop>
  <LinksUpToDate>false</LinksUpToDate>
  <CharactersWithSpaces>0</CharactersWithSpaces>
  <Application>WPS Office_11.2.0.11130_F1E327BC-269C-435d-A152-05C5408002CA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2020-07-28T16:53:00Z</dcterms:created>
  <dc:creator>Admin</dc:creator>
  <cp:lastModifiedBy>google1580733038</cp:lastModifiedBy>
  <cp:lastPrinted>2022-05-24T13:07:33Z</cp:lastPrinted>
  <dcterms:modified xsi:type="dcterms:W3CDTF">2022-05-24T13:20:21Z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1046-11.2.0.11130</vt:lpwstr>
  </property>
  <property fmtid="{D5CDD505-2E9C-101B-9397-08002B2CF9AE}" pid="3" name="ICV">
    <vt:lpwstr>57749D42AC3D4A3E8A3FEDFB911CF0A6</vt:lpwstr>
  </property>
</Properties>
</file>