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ind w:right="-341"/>
        <w:jc w:val="center"/>
        <w:rPr>
          <w:rFonts w:hint="default" w:ascii="Times New Roman" w:hAnsi="Times New Roman" w:cs="Times New Roman"/>
          <w:b/>
          <w:sz w:val="24"/>
          <w:szCs w:val="24"/>
          <w:lang w:val="pt-BR"/>
        </w:rPr>
      </w:pPr>
      <w:r>
        <w:rPr>
          <w:rFonts w:hint="default" w:ascii="Times New Roman" w:hAnsi="Times New Roman" w:cs="Times New Roman"/>
          <w:b/>
          <w:sz w:val="24"/>
          <w:szCs w:val="24"/>
        </w:rPr>
        <w:t>CONTRATO</w:t>
      </w:r>
      <w:r>
        <w:rPr>
          <w:rFonts w:hint="default" w:ascii="Times New Roman" w:hAnsi="Times New Roman" w:cs="Times New Roman"/>
          <w:b/>
          <w:sz w:val="24"/>
          <w:szCs w:val="24"/>
          <w:lang w:val="pt-BR"/>
        </w:rPr>
        <w:t xml:space="preserve"> Nº 81/2022</w:t>
      </w:r>
    </w:p>
    <w:p>
      <w:pPr>
        <w:spacing w:beforeLines="0" w:afterLines="0"/>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O MUNICÍPIO DE PLANALTO pessoa jurídica de direito, com sede física na Rua Humberto de Campos, 732, na cidade de Planalto, representado pelo Sr Cristiano Gnoatto, Prefeito Municipal de Planalto, brasileiro, casado, residente e domiciliado nesta cidade, portador do CPF sob n. 636.783.570-91, doravante denominado de CONTRATANTE, e de outro lad</w:t>
      </w:r>
      <w:r>
        <w:rPr>
          <w:rFonts w:hint="default" w:ascii="Times New Roman" w:hAnsi="Times New Roman" w:cs="Times New Roman"/>
          <w:sz w:val="24"/>
          <w:szCs w:val="24"/>
          <w:lang w:val="pt-BR"/>
        </w:rPr>
        <w:t>o Marcos André Gotardo e Cia Ltda,</w:t>
      </w:r>
      <w:r>
        <w:rPr>
          <w:rFonts w:hint="default" w:ascii="Times New Roman" w:hAnsi="Times New Roman" w:cs="Times New Roman"/>
          <w:sz w:val="24"/>
          <w:szCs w:val="24"/>
        </w:rPr>
        <w:t xml:space="preserve"> doravante denominado de CONTRATADA, obedecendo às disposições contidas na lei 8.666/93 e alterações, mais as normas estabelecidas no edital de licitação Pregão Presencial nº 35/2022, contratam o seguinte: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1 - Cláusula Primeira</w:t>
      </w:r>
      <w:r>
        <w:rPr>
          <w:rFonts w:hint="default" w:ascii="Times New Roman" w:hAnsi="Times New Roman" w:cs="Times New Roman"/>
          <w:sz w:val="24"/>
          <w:szCs w:val="24"/>
        </w:rPr>
        <w:t xml:space="preserve"> – A CONTRATANTE contrata Serviços e materiais para conserto e chapeação do Veículo Mercedes Caçamba placa IVM2369, compreendendo a mão-de-obra necessária e o fornecimento das peças para o conserto, com a substituição peças, sendo: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Total de mão de obra no valor de R$</w:t>
      </w:r>
      <w:r>
        <w:rPr>
          <w:rFonts w:hint="default" w:ascii="Times New Roman" w:hAnsi="Times New Roman" w:cs="Times New Roman"/>
          <w:sz w:val="24"/>
          <w:szCs w:val="24"/>
          <w:lang w:val="pt-BR"/>
        </w:rPr>
        <w:t xml:space="preserve"> 14.140,00 (Quatorze mil, cento e quarenta reais)</w:t>
      </w:r>
      <w:r>
        <w:rPr>
          <w:rFonts w:hint="default" w:ascii="Times New Roman" w:hAnsi="Times New Roman" w:cs="Times New Roman"/>
          <w:sz w:val="24"/>
          <w:szCs w:val="24"/>
        </w:rPr>
        <w:t xml:space="preserve"> e o total de peças na quantia de R$ o que totaliza o valor deste contrato em R$</w:t>
      </w:r>
      <w:r>
        <w:rPr>
          <w:rFonts w:hint="default" w:ascii="Times New Roman" w:hAnsi="Times New Roman" w:cs="Times New Roman"/>
          <w:sz w:val="24"/>
          <w:szCs w:val="24"/>
          <w:lang w:val="pt-BR"/>
        </w:rPr>
        <w:t xml:space="preserve"> 10.474,50 (Dez mil, quatrocentos e setenta e quatro reais e cinquenta centavos)</w:t>
      </w:r>
      <w:r>
        <w:rPr>
          <w:rFonts w:hint="default" w:ascii="Times New Roman" w:hAnsi="Times New Roman" w:cs="Times New Roman"/>
          <w:sz w:val="24"/>
          <w:szCs w:val="24"/>
        </w:rPr>
        <w:t xml:space="preserve">. Especifica-se o objeto do Pregão. </w:t>
      </w:r>
    </w:p>
    <w:tbl>
      <w:tblPr>
        <w:tblStyle w:val="12"/>
        <w:tblW w:w="96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8"/>
        <w:gridCol w:w="1107"/>
        <w:gridCol w:w="601"/>
        <w:gridCol w:w="4616"/>
        <w:gridCol w:w="5"/>
        <w:gridCol w:w="1392"/>
        <w:gridCol w:w="3"/>
        <w:gridCol w:w="1334"/>
        <w:gridCol w:w="14"/>
        <w:gridCol w:w="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15" w:type="dxa"/>
        </w:trPr>
        <w:tc>
          <w:tcPr>
            <w:tcW w:w="9586" w:type="dxa"/>
            <w:gridSpan w:val="8"/>
            <w:tcBorders>
              <w:top w:val="single" w:color="auto" w:sz="4" w:space="0"/>
              <w:left w:val="single" w:color="auto" w:sz="4" w:space="0"/>
              <w:bottom w:val="nil"/>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 xml:space="preserve">Empresa: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EMPRESAS_COM_ITENS_VENCEDORES.NOME_PES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MARCOS ANDRE GOTARDO ME</w:t>
            </w:r>
            <w:r>
              <w:rPr>
                <w:rFonts w:hint="default" w:ascii="Times New Roman" w:hAnsi="Times New Roman" w:eastAsia="Times New Roman"/>
                <w:b/>
                <w:sz w:val="20"/>
                <w:szCs w:val="24"/>
              </w:rPr>
              <w:fldChar w:fldCharType="end"/>
            </w:r>
            <w:r>
              <w:rPr>
                <w:rFonts w:hint="default" w:ascii="Times New Roman" w:hAnsi="Times New Roman" w:eastAsia="Times New Roman"/>
                <w:b/>
                <w:sz w:val="20"/>
                <w:szCs w:val="24"/>
              </w:rPr>
              <w:t xml:space="preserve"> - </w:t>
            </w: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EMPRESAS_COM_ITENS_VENCEDORES.COD_PES</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2473</w:t>
            </w:r>
            <w:r>
              <w:rPr>
                <w:rFonts w:hint="default" w:ascii="Times New Roman" w:hAnsi="Times New Roman" w:eastAsia="Times New Roman"/>
                <w:b/>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blHeader/>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Item</w:t>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Quantidade</w:t>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b/>
                <w:sz w:val="20"/>
                <w:szCs w:val="24"/>
              </w:rPr>
            </w:pPr>
            <w:r>
              <w:rPr>
                <w:rFonts w:hint="default" w:ascii="Times New Roman" w:hAnsi="Times New Roman" w:eastAsia="Times New Roman"/>
                <w:b/>
                <w:sz w:val="20"/>
                <w:szCs w:val="24"/>
              </w:rPr>
              <w:t>Unid.</w:t>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b/>
                <w:sz w:val="20"/>
                <w:szCs w:val="24"/>
              </w:rPr>
            </w:pPr>
            <w:r>
              <w:rPr>
                <w:rFonts w:hint="default" w:ascii="Times New Roman" w:hAnsi="Times New Roman" w:eastAsia="Times New Roman"/>
                <w:b/>
                <w:sz w:val="20"/>
                <w:szCs w:val="24"/>
              </w:rPr>
              <w:t>Produto</w:t>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Unit.</w:t>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Valor Total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PARA BRISA DIANTEIRO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2.010,00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2.010,00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Borracha do para-brisas dianteiro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Farol dianteiro inferior </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377,50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755,00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Aba da coluna dianteira LD</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80,50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80,50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Espelho retrovisor completo LD</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378,50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378,50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6</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Vidro da porta LD</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525,00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525,00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7</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Pisca do teto LD</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332,00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332,00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Volante MB Atron</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375,00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375,00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9</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Manopla de marchas</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472,50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472,50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Coifa superior (sanfona) da alavanca de marchas</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416,50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416,50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11</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Coifa inferior (sanfona) da alavanca de marchas</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288,00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288,00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Suporte do filtro de ar completo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1.150,00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1.150,00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13</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Batente superior do feixe de mola dianteiro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96,00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192,00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Terminal de direção LE</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222,00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222,00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Terminal de direção LD</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215,00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215,00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16</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Porcas de roda </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15,00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17</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CJ</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Conjunto parafuso de roda </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46,00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46,00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18</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Tampa das baterias</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345,50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345,50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19</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Cabo de acionamento de basculamento da cabine</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231,00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231,00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20</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MATERIAL CHAPEAÇÃO </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2.200,00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21</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ALINHAMENTO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1.250,00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1.250,00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22</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CHAPEAÇÃO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5.850,00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5.850,00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23</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FUNILARIA</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800,00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800,00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24</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 xml:space="preserve">SERVIÇO DE PINTURA </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2.400,00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2.400,00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25</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POLIMENTO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550,00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550,00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26</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SIBORG</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1.800,00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1.800,00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1" w:type="dxa"/>
        </w:trPr>
        <w:tc>
          <w:tcPr>
            <w:tcW w:w="52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ITENS_VENCEDORES.ID_ITEM</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27</w:t>
            </w:r>
            <w:r>
              <w:rPr>
                <w:rFonts w:hint="default" w:ascii="Times New Roman" w:hAnsi="Times New Roman" w:eastAsia="Times New Roman"/>
                <w:sz w:val="20"/>
                <w:szCs w:val="24"/>
              </w:rPr>
              <w:fldChar w:fldCharType="end"/>
            </w:r>
          </w:p>
        </w:tc>
        <w:tc>
          <w:tcPr>
            <w:tcW w:w="110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ITENS_VENCEDORES.QTDITEM_ILIC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1,00</w:t>
            </w:r>
            <w:r>
              <w:rPr>
                <w:rFonts w:hint="default" w:ascii="Times New Roman" w:hAnsi="Times New Roman" w:eastAsia="Times New Roman"/>
                <w:sz w:val="20"/>
                <w:szCs w:val="24"/>
              </w:rPr>
              <w:fldChar w:fldCharType="end"/>
            </w:r>
          </w:p>
        </w:tc>
        <w:tc>
          <w:tcPr>
            <w:tcW w:w="601"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ITENS_VENCEDORES.SIGLA_UND</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UN</w:t>
            </w:r>
            <w:r>
              <w:rPr>
                <w:rFonts w:hint="default" w:ascii="Times New Roman" w:hAnsi="Times New Roman" w:eastAsia="Times New Roman"/>
                <w:sz w:val="20"/>
                <w:szCs w:val="24"/>
              </w:rPr>
              <w:fldChar w:fldCharType="end"/>
            </w:r>
          </w:p>
        </w:tc>
        <w:tc>
          <w:tcPr>
            <w:tcW w:w="4621"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lef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ITENS_VENCEDORES.DESCITEM_ILIC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SERVIÇO DE SUBSTITUIÇÃO DE PEÇAS E ACABAMENTO</w:t>
            </w:r>
            <w:r>
              <w:rPr>
                <w:rFonts w:hint="default" w:ascii="Times New Roman" w:hAnsi="Times New Roman" w:eastAsia="Times New Roman"/>
                <w:sz w:val="20"/>
                <w:szCs w:val="24"/>
              </w:rPr>
              <w:fldChar w:fldCharType="end"/>
            </w:r>
          </w:p>
        </w:tc>
        <w:tc>
          <w:tcPr>
            <w:tcW w:w="1392"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ITENS_VENCEDORES.VLRUNIT_RLIC</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1.490,00</w:t>
            </w:r>
            <w:r>
              <w:rPr>
                <w:rFonts w:hint="default" w:ascii="Times New Roman" w:hAnsi="Times New Roman" w:eastAsia="Times New Roman"/>
                <w:sz w:val="20"/>
                <w:szCs w:val="24"/>
              </w:rPr>
              <w:fldChar w:fldCharType="end"/>
            </w:r>
          </w:p>
        </w:tc>
        <w:tc>
          <w:tcPr>
            <w:tcW w:w="1351"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sz w:val="20"/>
                <w:szCs w:val="24"/>
              </w:rPr>
            </w:pPr>
            <w:r>
              <w:rPr>
                <w:rFonts w:hint="default" w:ascii="Times New Roman" w:hAnsi="Times New Roman" w:eastAsia="Times New Roman"/>
                <w:sz w:val="20"/>
                <w:szCs w:val="24"/>
              </w:rPr>
              <w:fldChar w:fldCharType="begin"/>
            </w:r>
            <w:r>
              <w:rPr>
                <w:rFonts w:hint="default" w:ascii="Times New Roman" w:hAnsi="Times New Roman" w:eastAsia="Times New Roman"/>
                <w:sz w:val="20"/>
                <w:szCs w:val="24"/>
              </w:rPr>
              <w:instrText xml:space="preserve">MERGEFIELD ITENS_VENCEDORES.VLRTOTAL</w:instrText>
            </w:r>
            <w:r>
              <w:rPr>
                <w:rFonts w:hint="default" w:ascii="Times New Roman" w:hAnsi="Times New Roman" w:eastAsia="Times New Roman"/>
                <w:sz w:val="20"/>
                <w:szCs w:val="24"/>
              </w:rPr>
              <w:fldChar w:fldCharType="separate"/>
            </w:r>
            <w:r>
              <w:rPr>
                <w:rFonts w:hint="default" w:ascii="Times New Roman" w:hAnsi="Times New Roman" w:eastAsia="Times New Roman"/>
                <w:sz w:val="20"/>
                <w:szCs w:val="24"/>
              </w:rPr>
              <w:t>1.490,00</w:t>
            </w:r>
            <w:r>
              <w:rPr>
                <w:rFonts w:hint="default" w:ascii="Times New Roman" w:hAnsi="Times New Roman" w:eastAsia="Times New Roman"/>
                <w:sz w:val="20"/>
                <w:szCs w:val="24"/>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6852" w:type="dxa"/>
            <w:gridSpan w:val="4"/>
            <w:tcBorders>
              <w:top w:val="single" w:color="auto" w:sz="4" w:space="0"/>
              <w:left w:val="single" w:color="auto" w:sz="4" w:space="0"/>
              <w:bottom w:val="single" w:color="auto" w:sz="4" w:space="0"/>
              <w:right w:val="nil"/>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t>Total dos Produtos</w:t>
            </w:r>
          </w:p>
        </w:tc>
        <w:tc>
          <w:tcPr>
            <w:tcW w:w="1400" w:type="dxa"/>
            <w:gridSpan w:val="3"/>
            <w:tcBorders>
              <w:top w:val="single" w:color="auto" w:sz="4" w:space="0"/>
              <w:left w:val="nil"/>
              <w:bottom w:val="single" w:color="auto" w:sz="4" w:space="0"/>
              <w:right w:val="single" w:color="auto" w:sz="4" w:space="0"/>
              <w:tl2br w:val="nil"/>
              <w:tr2bl w:val="nil"/>
            </w:tcBorders>
            <w:noWrap w:val="0"/>
            <w:vAlign w:val="top"/>
          </w:tcPr>
          <w:p>
            <w:pPr>
              <w:spacing w:beforeLines="0" w:afterLines="0"/>
              <w:jc w:val="left"/>
              <w:rPr>
                <w:rFonts w:hint="default"/>
                <w:sz w:val="22"/>
                <w:szCs w:val="24"/>
              </w:rPr>
            </w:pPr>
          </w:p>
        </w:tc>
        <w:tc>
          <w:tcPr>
            <w:tcW w:w="1349"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eastAsia="Times New Roman"/>
                <w:b/>
                <w:sz w:val="20"/>
                <w:szCs w:val="24"/>
              </w:rPr>
            </w:pPr>
            <w:r>
              <w:rPr>
                <w:rFonts w:hint="default" w:ascii="Times New Roman" w:hAnsi="Times New Roman" w:eastAsia="Times New Roman"/>
                <w:b/>
                <w:sz w:val="20"/>
                <w:szCs w:val="24"/>
              </w:rPr>
              <w:fldChar w:fldCharType="begin"/>
            </w:r>
            <w:r>
              <w:rPr>
                <w:rFonts w:hint="default" w:ascii="Times New Roman" w:hAnsi="Times New Roman" w:eastAsia="Times New Roman"/>
                <w:b/>
                <w:sz w:val="20"/>
                <w:szCs w:val="24"/>
              </w:rPr>
              <w:instrText xml:space="preserve">MERGEFIELD EMPRESAS_COM_ITENS_VENCEDORES.TOTALGERAL</w:instrText>
            </w:r>
            <w:r>
              <w:rPr>
                <w:rFonts w:hint="default" w:ascii="Times New Roman" w:hAnsi="Times New Roman" w:eastAsia="Times New Roman"/>
                <w:b/>
                <w:sz w:val="20"/>
                <w:szCs w:val="24"/>
              </w:rPr>
              <w:fldChar w:fldCharType="separate"/>
            </w:r>
            <w:r>
              <w:rPr>
                <w:rFonts w:hint="default" w:ascii="Times New Roman" w:hAnsi="Times New Roman" w:eastAsia="Times New Roman"/>
                <w:b/>
                <w:sz w:val="20"/>
                <w:szCs w:val="24"/>
              </w:rPr>
              <w:t>24.614,50</w:t>
            </w:r>
            <w:r>
              <w:rPr>
                <w:rFonts w:hint="default" w:ascii="Times New Roman" w:hAnsi="Times New Roman" w:eastAsia="Times New Roman"/>
                <w:b/>
                <w:sz w:val="20"/>
                <w:szCs w:val="24"/>
              </w:rPr>
              <w:fldChar w:fldCharType="end"/>
            </w:r>
          </w:p>
        </w:tc>
      </w:tr>
    </w:tbl>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Parágrafo Primeiro</w:t>
      </w:r>
      <w:r>
        <w:rPr>
          <w:rFonts w:hint="default" w:ascii="Times New Roman" w:hAnsi="Times New Roman" w:cs="Times New Roman"/>
          <w:sz w:val="24"/>
          <w:szCs w:val="24"/>
        </w:rPr>
        <w:t xml:space="preserve"> – A CONTRATANTE efetuará o pagamento de 50% do valor após o recebimento definitivo do objeto desta licitação e o restante e até 02 (duas) parcelas iguais.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Parágrafo Segundo</w:t>
      </w:r>
      <w:r>
        <w:rPr>
          <w:rFonts w:hint="default" w:ascii="Times New Roman" w:hAnsi="Times New Roman" w:cs="Times New Roman"/>
          <w:sz w:val="24"/>
          <w:szCs w:val="24"/>
        </w:rPr>
        <w:t xml:space="preserve"> – A Contratada terá até 30(trinta) dias corridos, contados da assinatura deste contrato, para a entrega da máquina, na Prefeitura Municipal de Planalto, devidamente consertada. Prazo que poderá ser prorrogado mediante justificativa aceita pela Administração Antes de iniciar o serviço deverá o contratado designar data para fins de conferência das peças novas que serão utilizadas, conforme descrita na tabela constante no objeto do edital.</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2 - Cláusula Segunda</w:t>
      </w:r>
      <w:r>
        <w:rPr>
          <w:rFonts w:hint="default" w:ascii="Times New Roman" w:hAnsi="Times New Roman" w:cs="Times New Roman"/>
          <w:sz w:val="24"/>
          <w:szCs w:val="24"/>
        </w:rPr>
        <w:t xml:space="preserve"> – O prazo de garantia total dos itens consertados será de no mínimo 06 (seis) meses, sem limite de quilometragem ou de horas e no prazo de garantia correrá por conta do licitante vencedor todas as despesas necessárias para execução dos serviços de consertos e reparos, inclusive eventuais substituições de peças que se façam necessárias. Os serviços de garantia serão prestados no Município de Planalto, cujo deslocamento será ônus do licitante vencedor. Sendo necessária a remoção do equipamento para a oficina da Contratada, caberá este o ônus do deslocamento.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Parágrafo único - No período da garantia a Contratada terá o prazo de 30 dias corridos para efetuar o conserto, caso este seja complexo, e no prazo de 2 dias corridos para corrigir o problema detectado, caso seja de fácil solução. Eventual substituição de peças também deverá ocorrer com peças todas genuínas.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3 - Cláusula Terceira</w:t>
      </w:r>
      <w:r>
        <w:rPr>
          <w:rFonts w:hint="default" w:ascii="Times New Roman" w:hAnsi="Times New Roman" w:cs="Times New Roman"/>
          <w:sz w:val="24"/>
          <w:szCs w:val="24"/>
        </w:rPr>
        <w:t xml:space="preserve"> – A CONTRATADA se responsabiliza pela entrega do objeto licitado na cidade de Planalto – RS, sem ônus para o Município, devidamente consertado, bem como a remoção até o estabelecimento da contratada para o conserto.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4 - Cláusula Quarta</w:t>
      </w:r>
      <w:r>
        <w:rPr>
          <w:rFonts w:hint="default" w:ascii="Times New Roman" w:hAnsi="Times New Roman" w:cs="Times New Roman"/>
          <w:sz w:val="24"/>
          <w:szCs w:val="24"/>
        </w:rPr>
        <w:t xml:space="preserve"> – A Contratada em caso de inadimplemento estará sujeita às seguintes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4.1</w:t>
      </w:r>
      <w:r>
        <w:rPr>
          <w:rFonts w:hint="default" w:ascii="Times New Roman" w:hAnsi="Times New Roman" w:cs="Times New Roman"/>
          <w:sz w:val="24"/>
          <w:szCs w:val="24"/>
        </w:rPr>
        <w:t>– Advertência – Sempre que forem observadas irregularidades de pequena monta, para as quais tenha concorrido a contratada a desde que ao caso não se apliquem as demais penalidades;</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4.2</w:t>
      </w:r>
      <w:r>
        <w:rPr>
          <w:rFonts w:hint="default" w:ascii="Times New Roman" w:hAnsi="Times New Roman" w:cs="Times New Roman"/>
          <w:sz w:val="24"/>
          <w:szCs w:val="24"/>
        </w:rPr>
        <w:t xml:space="preserve"> – Multa – No caso de atraso ou negligência, na execução dos serviços ou no fornecimento do material, será aplicada à Contratada multa de até 20% (vinte por cento) sobre o valor da obrigação, calculada conforme fórmula abaixo: Multa = ( valor do contrato ) x dias de atraso Prazo máx. de entrega (em dias) Multa(%) = (resultado da operação acima) x ( percentual fixado) Multa = o resultado será o valor da multa;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 Na hipótese de aplicação de multa fica assegurado ao CONTRATANTE o direito de optar pela dedução correspondente sobre qualquer pagamento a ser efetuado a CONTRATADA.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A multa também incidirá em decorrência da não correção de fornecimento de produtos ou serviços não aprovados pela Administração, e não corrigidos imediatamente, sobre o valor não corrigido.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4.3</w:t>
      </w:r>
      <w:r>
        <w:rPr>
          <w:rFonts w:hint="default" w:ascii="Times New Roman" w:hAnsi="Times New Roman" w:cs="Times New Roman"/>
          <w:sz w:val="24"/>
          <w:szCs w:val="24"/>
        </w:rPr>
        <w:t xml:space="preserve"> Se o incumprimento contratual for substancial administração reincidirá o contrato, aplicará multa de 15% do valor do contrato adjudicado, e suspenderá o direito de licitar e contratar com o CONTRATANTE pelo prazo de até 02 anos, sem prejuízo da aplicação das demais sanções contidas na Lei 8.666/93.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5 - Cláusula Quinta</w:t>
      </w:r>
      <w:r>
        <w:rPr>
          <w:rFonts w:hint="default" w:ascii="Times New Roman" w:hAnsi="Times New Roman" w:cs="Times New Roman"/>
          <w:sz w:val="24"/>
          <w:szCs w:val="24"/>
        </w:rPr>
        <w:t xml:space="preserve"> – As despesas serão cobertas por conta da seguinte dotação orçamentária: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2030   33903039000000  Material para Manutenção de Veículos  RV 01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2030   33903019000000  Manutenção e Conservação de Veículos  RV 01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2031   33903039000000  Material para Manutenção de Veículos  RV 01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2031   33903019000000  Manutenção e Conservação de Veículos  RV 01</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6 -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 xml:space="preserve">Cláusula Sexta </w:t>
      </w:r>
      <w:r>
        <w:rPr>
          <w:rFonts w:hint="default" w:ascii="Times New Roman" w:hAnsi="Times New Roman" w:cs="Times New Roman"/>
          <w:sz w:val="24"/>
          <w:szCs w:val="24"/>
        </w:rPr>
        <w:t>– A CONTRATADA assume a obrigação de manter, durante toda a execução do contrato, em compatibilidade com as obrigações, todas as condições de habilitação e qualificação exigidas na licitação.</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7 - Cláusula Sétima </w:t>
      </w:r>
      <w:r>
        <w:rPr>
          <w:rFonts w:hint="default" w:ascii="Times New Roman" w:hAnsi="Times New Roman" w:cs="Times New Roman"/>
          <w:sz w:val="24"/>
          <w:szCs w:val="24"/>
        </w:rPr>
        <w:t xml:space="preserve">– A CONTRATADA reconhece os direitos da Administração constantes no art. 77 e seguintes da Lei 8.666/93 e alterações posteriores.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8 - Cláusula Oitava</w:t>
      </w:r>
      <w:r>
        <w:rPr>
          <w:rFonts w:hint="default" w:ascii="Times New Roman" w:hAnsi="Times New Roman" w:cs="Times New Roman"/>
          <w:sz w:val="24"/>
          <w:szCs w:val="24"/>
        </w:rPr>
        <w:t xml:space="preserve"> – Constitui motivo para rescisão do contrato, as previstas no art. 77,78, principalmente dos incisos I, II, VI, IX, XI, XII, XIV, XVII, mais os casos previstos no art. 79, em seus parágrafos e incisos, bem como do art. 80, todos da Lei 8.666/93 e alterações.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9 - Cláusula Nona </w:t>
      </w:r>
      <w:r>
        <w:rPr>
          <w:rFonts w:hint="default" w:ascii="Times New Roman" w:hAnsi="Times New Roman" w:cs="Times New Roman"/>
          <w:sz w:val="24"/>
          <w:szCs w:val="24"/>
        </w:rPr>
        <w:t>– A CONTRATADA signatária fica expressamente vinculada aos termos da proposta da licitante vencedora.</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10 - Cláusula Décima</w:t>
      </w:r>
      <w:r>
        <w:rPr>
          <w:rFonts w:hint="default" w:ascii="Times New Roman" w:hAnsi="Times New Roman" w:cs="Times New Roman"/>
          <w:sz w:val="24"/>
          <w:szCs w:val="24"/>
        </w:rPr>
        <w:t xml:space="preserve"> - A CONTRATANTE poderá descontar das parcelas vincendas o valor equivalente à multa que tenha incidido a CONTRATADA por descumprimento ao que fora pactuado, bem como qualquer tributo incidente.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11 -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Cláusula Décima Primeira</w:t>
      </w:r>
      <w:r>
        <w:rPr>
          <w:rFonts w:hint="default" w:ascii="Times New Roman" w:hAnsi="Times New Roman" w:cs="Times New Roman"/>
          <w:sz w:val="24"/>
          <w:szCs w:val="24"/>
        </w:rPr>
        <w:t xml:space="preserve"> – O presente contrato é complementado e integrado pelas regras constantes no edital de Pregão Presencial nº 35/2022.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12 -</w:t>
      </w:r>
      <w:r>
        <w:rPr>
          <w:rFonts w:hint="default" w:ascii="Times New Roman" w:hAnsi="Times New Roman" w:cs="Times New Roman"/>
          <w:sz w:val="24"/>
          <w:szCs w:val="24"/>
        </w:rPr>
        <w:t xml:space="preserve"> </w:t>
      </w:r>
      <w:r>
        <w:rPr>
          <w:rFonts w:hint="default" w:ascii="Times New Roman" w:hAnsi="Times New Roman" w:cs="Times New Roman"/>
          <w:b/>
          <w:sz w:val="24"/>
          <w:szCs w:val="24"/>
        </w:rPr>
        <w:t>Cláusula Décima Segunda</w:t>
      </w:r>
      <w:r>
        <w:rPr>
          <w:rFonts w:hint="default" w:ascii="Times New Roman" w:hAnsi="Times New Roman" w:cs="Times New Roman"/>
          <w:sz w:val="24"/>
          <w:szCs w:val="24"/>
        </w:rPr>
        <w:t xml:space="preserve"> – Caberá ao Sr. Paulo Roberto Feronatto a responsabilidade de cuidar da máquina, assumindo doravante as funções de depositário do mesmo, sem qualquer ônus para o contratante, devendo restituí-lo tão logo concluído o conserto, dentro do prazo estabelecido neste edital.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13 - Cláusula Décima Terceira</w:t>
      </w:r>
      <w:r>
        <w:rPr>
          <w:rFonts w:hint="default" w:ascii="Times New Roman" w:hAnsi="Times New Roman" w:cs="Times New Roman"/>
          <w:sz w:val="24"/>
          <w:szCs w:val="24"/>
        </w:rPr>
        <w:t xml:space="preserve"> - Caberá a contratada informar as medidas necessárias para a devida manutenção das peças consertadas ou substituídas. </w:t>
      </w:r>
    </w:p>
    <w:p>
      <w:pPr>
        <w:spacing w:beforeLines="0" w:afterLines="0"/>
        <w:jc w:val="both"/>
        <w:rPr>
          <w:rFonts w:hint="default" w:ascii="Times New Roman" w:hAnsi="Times New Roman" w:cs="Times New Roman"/>
          <w:sz w:val="24"/>
          <w:szCs w:val="24"/>
        </w:rPr>
      </w:pPr>
      <w:r>
        <w:rPr>
          <w:rFonts w:hint="default" w:ascii="Times New Roman" w:hAnsi="Times New Roman" w:cs="Times New Roman"/>
          <w:b/>
          <w:sz w:val="24"/>
          <w:szCs w:val="24"/>
        </w:rPr>
        <w:t>14</w:t>
      </w:r>
      <w:r>
        <w:rPr>
          <w:rFonts w:hint="default" w:ascii="Times New Roman" w:hAnsi="Times New Roman" w:cs="Times New Roman"/>
          <w:sz w:val="24"/>
          <w:szCs w:val="24"/>
        </w:rPr>
        <w:t xml:space="preserve"> - </w:t>
      </w:r>
      <w:r>
        <w:rPr>
          <w:rFonts w:hint="default" w:ascii="Times New Roman" w:hAnsi="Times New Roman" w:cs="Times New Roman"/>
          <w:b/>
          <w:sz w:val="24"/>
          <w:szCs w:val="24"/>
        </w:rPr>
        <w:t>Cláusula Décima Quarta</w:t>
      </w:r>
      <w:r>
        <w:rPr>
          <w:rFonts w:hint="default" w:ascii="Times New Roman" w:hAnsi="Times New Roman" w:cs="Times New Roman"/>
          <w:sz w:val="24"/>
          <w:szCs w:val="24"/>
        </w:rPr>
        <w:t xml:space="preserve"> - O Foro de eleição é o da Comarca de Planalto - RS. Assim, após lido na presença do CONTRATANTE e CONTRATADA, assinaram o presente instrumento contratual na presença de duas testemunhas, em duas vias, para que melhor forma em direito admitida, produza seus jurídicos legais efeitos para si e seus sucessores. </w:t>
      </w:r>
    </w:p>
    <w:p>
      <w:pPr>
        <w:spacing w:beforeLines="0" w:afterLines="0"/>
        <w:jc w:val="both"/>
        <w:rPr>
          <w:rFonts w:hint="default" w:ascii="Times New Roman" w:hAnsi="Times New Roman" w:cs="Times New Roman"/>
          <w:sz w:val="24"/>
          <w:szCs w:val="24"/>
        </w:rPr>
      </w:pPr>
    </w:p>
    <w:p>
      <w:pPr>
        <w:spacing w:beforeLines="0" w:afterLines="0"/>
        <w:jc w:val="both"/>
        <w:rPr>
          <w:rFonts w:hint="default" w:ascii="Times New Roman" w:hAnsi="Times New Roman" w:cs="Times New Roman"/>
          <w:sz w:val="24"/>
          <w:szCs w:val="24"/>
          <w:lang w:val="pt-BR"/>
        </w:rPr>
      </w:pPr>
      <w:r>
        <w:rPr>
          <w:rFonts w:hint="default" w:ascii="Times New Roman" w:hAnsi="Times New Roman" w:cs="Times New Roman"/>
          <w:sz w:val="24"/>
          <w:szCs w:val="24"/>
        </w:rPr>
        <w:t>Planalto- RS</w:t>
      </w:r>
      <w:r>
        <w:rPr>
          <w:rFonts w:hint="default" w:ascii="Times New Roman" w:hAnsi="Times New Roman" w:cs="Times New Roman"/>
          <w:sz w:val="24"/>
          <w:szCs w:val="24"/>
          <w:lang w:val="pt-BR"/>
        </w:rPr>
        <w:t xml:space="preserve"> 18 de novembro de 2022.</w:t>
      </w:r>
    </w:p>
    <w:p>
      <w:pPr>
        <w:spacing w:beforeLines="0" w:afterLines="0"/>
        <w:jc w:val="both"/>
        <w:rPr>
          <w:rFonts w:hint="default" w:ascii="Times New Roman" w:hAnsi="Times New Roman" w:cs="Times New Roman"/>
          <w:sz w:val="24"/>
          <w:szCs w:val="24"/>
          <w:lang w:val="pt-BR"/>
        </w:rPr>
      </w:pPr>
    </w:p>
    <w:p>
      <w:pPr>
        <w:spacing w:beforeLines="0" w:afterLines="0"/>
        <w:jc w:val="both"/>
        <w:rPr>
          <w:rFonts w:hint="default" w:ascii="Times New Roman" w:hAnsi="Times New Roman" w:cs="Times New Roman"/>
          <w:sz w:val="24"/>
          <w:szCs w:val="24"/>
          <w:lang w:val="pt-BR"/>
        </w:rPr>
      </w:pPr>
    </w:p>
    <w:p>
      <w:pPr>
        <w:spacing w:beforeLines="0" w:afterLines="0"/>
        <w:jc w:val="both"/>
        <w:rPr>
          <w:rFonts w:hint="default" w:ascii="Times New Roman" w:hAnsi="Times New Roman" w:cs="Times New Roman"/>
          <w:sz w:val="24"/>
          <w:szCs w:val="24"/>
          <w:lang w:val="pt-BR"/>
        </w:rPr>
      </w:pPr>
    </w:p>
    <w:p>
      <w:pPr>
        <w:spacing w:beforeLines="0" w:afterLines="0"/>
        <w:jc w:val="both"/>
        <w:rPr>
          <w:rFonts w:hint="default" w:ascii="Times New Roman" w:hAnsi="Times New Roman" w:cs="Times New Roman"/>
          <w:b/>
          <w:bCs/>
          <w:sz w:val="24"/>
          <w:szCs w:val="24"/>
          <w:lang w:val="pt-BR"/>
        </w:rPr>
      </w:pPr>
      <w:r>
        <w:rPr>
          <w:rFonts w:hint="default" w:ascii="Times New Roman" w:hAnsi="Times New Roman" w:cs="Times New Roman"/>
          <w:b/>
          <w:bCs/>
          <w:sz w:val="24"/>
          <w:szCs w:val="24"/>
          <w:lang w:val="pt-BR"/>
        </w:rPr>
        <w:t>MUNICÍPIO DE PLANALTO             MARCOS ANDRÉ GOTARDO E CIA LTDA</w:t>
      </w:r>
    </w:p>
    <w:p>
      <w:pPr>
        <w:spacing w:beforeLines="0" w:afterLines="0" w:line="36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CONTRATANTE                                        CONTRATADA </w:t>
      </w:r>
    </w:p>
    <w:p>
      <w:pPr>
        <w:spacing w:beforeLines="0" w:afterLines="0" w:line="360" w:lineRule="auto"/>
        <w:jc w:val="both"/>
        <w:rPr>
          <w:rFonts w:hint="default" w:ascii="Times New Roman" w:hAnsi="Times New Roman" w:cs="Times New Roman"/>
          <w:sz w:val="24"/>
          <w:szCs w:val="24"/>
        </w:rPr>
      </w:pPr>
    </w:p>
    <w:p>
      <w:pPr>
        <w:spacing w:beforeLines="0" w:afterLines="0" w:line="360" w:lineRule="auto"/>
        <w:jc w:val="both"/>
        <w:rPr>
          <w:rFonts w:hint="default" w:ascii="Times New Roman" w:hAnsi="Times New Roman" w:cs="Times New Roman"/>
          <w:b/>
          <w:sz w:val="24"/>
          <w:szCs w:val="24"/>
        </w:rPr>
      </w:pPr>
      <w:r>
        <w:rPr>
          <w:rFonts w:hint="default" w:ascii="Times New Roman" w:hAnsi="Times New Roman" w:cs="Times New Roman"/>
          <w:sz w:val="24"/>
          <w:szCs w:val="24"/>
        </w:rPr>
        <w:t>Testemunhas:</w:t>
      </w:r>
      <w:r>
        <w:rPr>
          <w:rFonts w:hint="default" w:ascii="Times New Roman" w:hAnsi="Times New Roman" w:cs="Times New Roman"/>
          <w:b/>
          <w:sz w:val="24"/>
          <w:szCs w:val="24"/>
        </w:rPr>
        <w:t xml:space="preserve">    </w:t>
      </w:r>
    </w:p>
    <w:p>
      <w:pPr>
        <w:rPr>
          <w:rFonts w:hint="default" w:ascii="Times New Roman" w:hAnsi="Times New Roman" w:cs="Times New Roman"/>
          <w:sz w:val="24"/>
          <w:szCs w:val="24"/>
        </w:rPr>
      </w:pPr>
      <w:bookmarkStart w:id="0" w:name="_GoBack"/>
      <w:bookmarkEnd w:id="0"/>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Tahoma">
    <w:panose1 w:val="020B0604030504040204"/>
    <w:charset w:val="01"/>
    <w:family w:val="auto"/>
    <w:pitch w:val="default"/>
    <w:sig w:usb0="E1002EFF" w:usb1="C000605B" w:usb2="00000029" w:usb3="00000000" w:csb0="200101FF" w:csb1="20280000"/>
  </w:font>
  <w:font w:name="Calibri">
    <w:panose1 w:val="020F0502020204030204"/>
    <w:charset w:val="01"/>
    <w:family w:val="auto"/>
    <w:pitch w:val="default"/>
    <w:sig w:usb0="E4002EFF" w:usb1="C000247B" w:usb2="00000009" w:usb3="00000000" w:csb0="200001FF" w:csb1="00000000"/>
  </w:font>
  <w:font w:name="Arial Narrow">
    <w:panose1 w:val="020B0606020202030204"/>
    <w:charset w:val="01"/>
    <w:family w:val="auto"/>
    <w:pitch w:val="default"/>
    <w:sig w:usb0="00000287" w:usb1="00000800" w:usb2="00000000" w:usb3="00000000" w:csb0="2000009F" w:csb1="DFD70000"/>
  </w:font>
  <w:font w:name="Thorndale">
    <w:altName w:val="Microsoft YaHei"/>
    <w:panose1 w:val="00000000000000000000"/>
    <w:charset w:val="01"/>
    <w:family w:val="auto"/>
    <w:pitch w:val="default"/>
    <w:sig w:usb0="008FBD98" w:usb1="0000007D" w:usb2="00000004" w:usb3="008FBD98" w:csb0="008FBC8C" w:csb1="53C27A82"/>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0AFE3E57"/>
    <w:rsid w:val="24D23F54"/>
    <w:rsid w:val="41C44C3F"/>
    <w:rsid w:val="617F76F8"/>
    <w:rsid w:val="705C0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iPriority="99"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Lines="0"/>
    </w:pPr>
    <w:rPr>
      <w:rFonts w:hint="default"/>
      <w:sz w:val="20"/>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ind w:right="-568"/>
      <w:jc w:val="center"/>
    </w:pPr>
    <w:rPr>
      <w:rFonts w:hint="default" w:ascii="Arial" w:hAnsi="Arial"/>
      <w:b/>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character" w:styleId="14">
    <w:name w:val="page number"/>
    <w:unhideWhenUsed/>
    <w:uiPriority w:val="99"/>
    <w:rPr>
      <w:rFonts w:hAnsi="Times New Roman" w:eastAsia="Times New Roman"/>
      <w:shd w:val="clear"/>
    </w:rPr>
  </w:style>
  <w:style w:type="paragraph" w:styleId="15">
    <w:name w:val="Body Text"/>
    <w:unhideWhenUsed/>
    <w:uiPriority w:val="99"/>
    <w:pPr>
      <w:widowControl w:val="0"/>
      <w:autoSpaceDE w:val="0"/>
      <w:autoSpaceDN w:val="0"/>
      <w:adjustRightInd w:val="0"/>
      <w:spacing w:beforeLines="0" w:afterLines="0"/>
      <w:jc w:val="both"/>
    </w:pPr>
    <w:rPr>
      <w:rFonts w:hint="default"/>
      <w:sz w:val="24"/>
      <w:szCs w:val="24"/>
    </w:rPr>
  </w:style>
  <w:style w:type="paragraph" w:styleId="16">
    <w:name w:val="Body Text Indent 2"/>
    <w:unhideWhenUsed/>
    <w:uiPriority w:val="99"/>
    <w:pPr>
      <w:widowControl w:val="0"/>
      <w:autoSpaceDE w:val="0"/>
      <w:autoSpaceDN w:val="0"/>
      <w:adjustRightInd w:val="0"/>
      <w:spacing w:beforeLines="0" w:afterLines="0"/>
      <w:ind w:firstLine="2977"/>
      <w:jc w:val="both"/>
    </w:pPr>
    <w:rPr>
      <w:rFonts w:hint="default"/>
      <w:sz w:val="28"/>
      <w:szCs w:val="24"/>
    </w:rPr>
  </w:style>
  <w:style w:type="paragraph" w:styleId="17">
    <w:name w:val="Normal (Web)"/>
    <w:unhideWhenUsed/>
    <w:uiPriority w:val="99"/>
    <w:pPr>
      <w:widowControl w:val="0"/>
      <w:autoSpaceDE w:val="0"/>
      <w:autoSpaceDN w:val="0"/>
      <w:adjustRightInd w:val="0"/>
      <w:spacing w:before="100" w:beforeLines="0" w:after="100" w:afterLines="0"/>
    </w:pPr>
    <w:rPr>
      <w:rFonts w:hint="default" w:ascii="Times New Roman" w:hAnsi="Times New Roman" w:eastAsia="Times New Roman"/>
      <w:sz w:val="24"/>
      <w:szCs w:val="24"/>
    </w:rPr>
  </w:style>
  <w:style w:type="paragraph" w:styleId="18">
    <w:name w:val="Body Text 3"/>
    <w:unhideWhenUsed/>
    <w:uiPriority w:val="99"/>
    <w:pPr>
      <w:widowControl w:val="0"/>
      <w:autoSpaceDE w:val="0"/>
      <w:autoSpaceDN w:val="0"/>
      <w:adjustRightInd w:val="0"/>
      <w:spacing w:beforeLines="0" w:after="120" w:afterLines="0"/>
    </w:pPr>
    <w:rPr>
      <w:rFonts w:hint="default"/>
      <w:sz w:val="16"/>
      <w:szCs w:val="24"/>
    </w:rPr>
  </w:style>
  <w:style w:type="paragraph" w:styleId="19">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20">
    <w:name w:val="footer"/>
    <w:unhideWhenUsed/>
    <w:uiPriority w:val="99"/>
    <w:pPr>
      <w:widowControl w:val="0"/>
      <w:autoSpaceDE w:val="0"/>
      <w:autoSpaceDN w:val="0"/>
      <w:adjustRightInd w:val="0"/>
      <w:spacing w:beforeLines="0" w:afterLines="0"/>
    </w:pPr>
    <w:rPr>
      <w:rFonts w:hint="default"/>
      <w:sz w:val="20"/>
      <w:szCs w:val="24"/>
    </w:rPr>
  </w:style>
  <w:style w:type="paragraph" w:styleId="21">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22">
    <w:name w:val="Body Text Indent 3"/>
    <w:unhideWhenUsed/>
    <w:uiPriority w:val="99"/>
    <w:pPr>
      <w:widowControl w:val="0"/>
      <w:autoSpaceDE w:val="0"/>
      <w:autoSpaceDN w:val="0"/>
      <w:adjustRightInd w:val="0"/>
      <w:spacing w:beforeLines="0" w:afterLines="0"/>
      <w:ind w:left="2977"/>
      <w:jc w:val="both"/>
    </w:pPr>
    <w:rPr>
      <w:rFonts w:hint="default"/>
      <w:sz w:val="28"/>
      <w:szCs w:val="24"/>
    </w:rPr>
  </w:style>
  <w:style w:type="paragraph" w:styleId="23">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4">
    <w:name w:val="Subtitle"/>
    <w:unhideWhenUsed/>
    <w:uiPriority w:val="99"/>
    <w:pPr>
      <w:widowControl w:val="0"/>
      <w:autoSpaceDE w:val="0"/>
      <w:autoSpaceDN w:val="0"/>
      <w:adjustRightInd w:val="0"/>
      <w:spacing w:beforeLines="0" w:afterLines="0"/>
      <w:ind w:right="-341"/>
      <w:jc w:val="center"/>
    </w:pPr>
    <w:rPr>
      <w:rFonts w:hint="default"/>
      <w:b/>
      <w:sz w:val="24"/>
      <w:szCs w:val="24"/>
    </w:rPr>
  </w:style>
  <w:style w:type="paragraph" w:styleId="25">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6">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7">
    <w:name w:val="Default"/>
    <w:unhideWhenUsed/>
    <w:uiPriority w:val="99"/>
    <w:pPr>
      <w:widowControl w:val="0"/>
      <w:autoSpaceDE w:val="0"/>
      <w:autoSpaceDN w:val="0"/>
      <w:adjustRightInd w:val="0"/>
      <w:spacing w:beforeLines="0" w:afterLines="0"/>
    </w:pPr>
    <w:rPr>
      <w:rFonts w:hint="default" w:ascii="Times New Roman" w:hAnsi="Times New Roman" w:eastAsia="Times New Roman"/>
      <w:color w:val="000000"/>
      <w:sz w:val="24"/>
      <w:szCs w:val="24"/>
    </w:rPr>
  </w:style>
  <w:style w:type="paragraph" w:customStyle="1" w:styleId="28">
    <w:name w:val="Subtítulo Char"/>
    <w:basedOn w:val="11"/>
    <w:unhideWhenUsed/>
    <w:uiPriority w:val="99"/>
    <w:pPr>
      <w:spacing w:beforeLines="0" w:afterLines="0"/>
    </w:pPr>
    <w:rPr>
      <w:rFonts w:hint="default"/>
      <w:b/>
      <w:sz w:val="24"/>
      <w:szCs w:val="24"/>
    </w:rPr>
  </w:style>
  <w:style w:type="paragraph" w:customStyle="1" w:styleId="29">
    <w:name w:val="TxBr_p6"/>
    <w:unhideWhenUsed/>
    <w:uiPriority w:val="99"/>
    <w:pPr>
      <w:widowControl w:val="0"/>
      <w:autoSpaceDE w:val="0"/>
      <w:autoSpaceDN w:val="0"/>
      <w:adjustRightInd w:val="0"/>
      <w:spacing w:beforeLines="0" w:afterLines="0" w:line="226" w:lineRule="atLeast"/>
      <w:ind w:left="930"/>
      <w:jc w:val="both"/>
    </w:pPr>
    <w:rPr>
      <w:rFonts w:hint="default"/>
      <w:sz w:val="20"/>
      <w:szCs w:val="24"/>
    </w:rPr>
  </w:style>
  <w:style w:type="paragraph" w:customStyle="1" w:styleId="30">
    <w:name w:val="TxBr_p5"/>
    <w:unhideWhenUsed/>
    <w:uiPriority w:val="99"/>
    <w:pPr>
      <w:widowControl w:val="0"/>
      <w:autoSpaceDE w:val="0"/>
      <w:autoSpaceDN w:val="0"/>
      <w:adjustRightInd w:val="0"/>
      <w:spacing w:beforeLines="0" w:afterLines="0" w:line="226" w:lineRule="atLeast"/>
      <w:ind w:left="919"/>
      <w:jc w:val="both"/>
    </w:pPr>
    <w:rPr>
      <w:rFonts w:hint="default"/>
      <w:sz w:val="20"/>
      <w:szCs w:val="24"/>
    </w:rPr>
  </w:style>
  <w:style w:type="paragraph" w:customStyle="1" w:styleId="31">
    <w:name w:val="Corpo de texto Char"/>
    <w:basedOn w:val="11"/>
    <w:unhideWhenUsed/>
    <w:uiPriority w:val="99"/>
    <w:pPr>
      <w:spacing w:beforeLines="0" w:afterLines="0"/>
    </w:pPr>
    <w:rPr>
      <w:rFonts w:hint="default" w:ascii="Tahoma" w:hAnsi="Tahoma" w:eastAsia="Tahoma"/>
      <w:sz w:val="24"/>
      <w:szCs w:val="24"/>
    </w:rPr>
  </w:style>
  <w:style w:type="paragraph" w:customStyle="1" w:styleId="32">
    <w:name w:val="WW-Recuo de corpo de texto 2"/>
    <w:unhideWhenUsed/>
    <w:uiPriority w:val="99"/>
    <w:pPr>
      <w:widowControl w:val="0"/>
      <w:autoSpaceDE w:val="0"/>
      <w:autoSpaceDN w:val="0"/>
      <w:adjustRightInd w:val="0"/>
      <w:spacing w:beforeLines="0" w:afterLines="0"/>
      <w:ind w:firstLine="567"/>
      <w:jc w:val="both"/>
    </w:pPr>
    <w:rPr>
      <w:rFonts w:hint="default" w:ascii="Thorndale" w:hAnsi="Thorndale" w:eastAsia="Thorndale"/>
      <w:color w:val="000000"/>
      <w:sz w:val="24"/>
      <w:szCs w:val="24"/>
    </w:rPr>
  </w:style>
  <w:style w:type="paragraph" w:customStyle="1" w:styleId="33">
    <w:name w:val="Corpo de texto 3 Char"/>
    <w:basedOn w:val="11"/>
    <w:unhideWhenUsed/>
    <w:uiPriority w:val="99"/>
    <w:pPr>
      <w:spacing w:beforeLines="0" w:afterLines="0"/>
    </w:pPr>
    <w:rPr>
      <w:rFonts w:hint="default"/>
      <w:sz w:val="16"/>
      <w:szCs w:val="24"/>
    </w:rPr>
  </w:style>
  <w:style w:type="paragraph" w:customStyle="1" w:styleId="34">
    <w:name w:val="Recuo de corpo de texto Char"/>
    <w:unhideWhenUsed/>
    <w:uiPriority w:val="99"/>
    <w:pPr>
      <w:widowControl w:val="0"/>
      <w:autoSpaceDE w:val="0"/>
      <w:autoSpaceDN w:val="0"/>
      <w:adjustRightInd w:val="0"/>
      <w:spacing w:beforeLines="0" w:afterLines="0"/>
    </w:pPr>
    <w:rPr>
      <w:rFonts w:hint="default"/>
      <w:sz w:val="22"/>
      <w:szCs w:val="24"/>
    </w:rPr>
  </w:style>
  <w:style w:type="paragraph" w:customStyle="1" w:styleId="35">
    <w:name w:val="TxBr_p4"/>
    <w:unhideWhenUsed/>
    <w:uiPriority w:val="99"/>
    <w:pPr>
      <w:widowControl w:val="0"/>
      <w:autoSpaceDE w:val="0"/>
      <w:autoSpaceDN w:val="0"/>
      <w:adjustRightInd w:val="0"/>
      <w:spacing w:beforeLines="0" w:afterLines="0" w:line="226" w:lineRule="atLeast"/>
      <w:ind w:left="919"/>
      <w:jc w:val="both"/>
    </w:pPr>
    <w:rPr>
      <w:rFonts w:hint="default"/>
      <w:sz w:val="20"/>
      <w:szCs w:val="24"/>
    </w:rPr>
  </w:style>
  <w:style w:type="paragraph" w:customStyle="1" w:styleId="36">
    <w:name w:val="TxBr_p1"/>
    <w:unhideWhenUsed/>
    <w:uiPriority w:val="99"/>
    <w:pPr>
      <w:widowControl w:val="0"/>
      <w:autoSpaceDE w:val="0"/>
      <w:autoSpaceDN w:val="0"/>
      <w:adjustRightInd w:val="0"/>
      <w:spacing w:beforeLines="0" w:afterLines="0" w:line="221" w:lineRule="atLeast"/>
      <w:jc w:val="both"/>
    </w:pPr>
    <w:rPr>
      <w:rFonts w:hint="default"/>
      <w:sz w:val="20"/>
      <w:szCs w:val="24"/>
    </w:rPr>
  </w:style>
  <w:style w:type="paragraph" w:customStyle="1" w:styleId="37">
    <w:name w:val="TxBr_p2"/>
    <w:unhideWhenUsed/>
    <w:uiPriority w:val="99"/>
    <w:pPr>
      <w:widowControl w:val="0"/>
      <w:autoSpaceDE w:val="0"/>
      <w:autoSpaceDN w:val="0"/>
      <w:adjustRightInd w:val="0"/>
      <w:spacing w:beforeLines="0" w:afterLines="0" w:line="240" w:lineRule="atLeast"/>
      <w:ind w:left="1003" w:hanging="515"/>
      <w:jc w:val="both"/>
    </w:pPr>
    <w:rPr>
      <w:rFonts w:hint="default"/>
      <w:sz w:val="20"/>
      <w:szCs w:val="24"/>
    </w:rPr>
  </w:style>
  <w:style w:type="paragraph" w:customStyle="1" w:styleId="38">
    <w:name w:val="TxBr_c3"/>
    <w:unhideWhenUsed/>
    <w:uiPriority w:val="99"/>
    <w:pPr>
      <w:widowControl w:val="0"/>
      <w:autoSpaceDE w:val="0"/>
      <w:autoSpaceDN w:val="0"/>
      <w:adjustRightInd w:val="0"/>
      <w:spacing w:beforeLines="0" w:afterLines="0" w:line="240" w:lineRule="atLeast"/>
      <w:jc w:val="center"/>
    </w:pPr>
    <w:rPr>
      <w:rFonts w:hint="default"/>
      <w:sz w:val="20"/>
      <w:szCs w:val="24"/>
    </w:rPr>
  </w:style>
  <w:style w:type="paragraph" w:customStyle="1" w:styleId="39">
    <w:name w:val="TxBr_c2"/>
    <w:unhideWhenUsed/>
    <w:uiPriority w:val="99"/>
    <w:pPr>
      <w:widowControl w:val="0"/>
      <w:autoSpaceDE w:val="0"/>
      <w:autoSpaceDN w:val="0"/>
      <w:adjustRightInd w:val="0"/>
      <w:spacing w:beforeLines="0" w:afterLines="0" w:line="240" w:lineRule="atLeast"/>
      <w:jc w:val="center"/>
    </w:pPr>
    <w:rPr>
      <w:rFonts w:hint="default"/>
      <w:sz w:val="20"/>
      <w:szCs w:val="24"/>
    </w:rPr>
  </w:style>
  <w:style w:type="paragraph" w:customStyle="1" w:styleId="40">
    <w:name w:val="Cabeçalho Char"/>
    <w:basedOn w:val="11"/>
    <w:unhideWhenUsed/>
    <w:uiPriority w:val="99"/>
    <w:pPr>
      <w:spacing w:beforeLines="0" w:afterLines="0"/>
    </w:pPr>
    <w:rPr>
      <w:rFonts w:hint="default"/>
      <w:sz w:val="22"/>
      <w:szCs w:val="24"/>
    </w:rPr>
  </w:style>
  <w:style w:type="paragraph" w:customStyle="1" w:styleId="41">
    <w:name w:val="Rodapé Char"/>
    <w:basedOn w:val="11"/>
    <w:unhideWhenUsed/>
    <w:uiPriority w:val="99"/>
    <w:pPr>
      <w:spacing w:beforeLines="0" w:afterLines="0"/>
    </w:pPr>
    <w:rPr>
      <w:rFonts w:hint="default"/>
      <w:sz w:val="2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Office_11.2.0.11380_F1E327BC-269C-435d-A152-05C5408002CA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Admin</cp:lastModifiedBy>
  <dcterms:modified xsi:type="dcterms:W3CDTF">2022-11-18T12:19:38Z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1046-11.2.0.11380</vt:lpwstr>
  </property>
  <property fmtid="{D5CDD505-2E9C-101B-9397-08002B2CF9AE}" pid="3" name="ICV">
    <vt:lpwstr>4D52F09A7D0149B4933A9064F6AF0A06</vt:lpwstr>
  </property>
</Properties>
</file>