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Bookman Old Style" w:hAnsi="Bookman Old Style"/>
          <w:b/>
          <w:i/>
          <w:sz w:val="24"/>
          <w:szCs w:val="24"/>
          <w:u w:val="single"/>
        </w:rPr>
      </w:pPr>
      <w:r>
        <w:rPr>
          <w:rFonts w:ascii="Bookman Old Style" w:hAnsi="Bookman Old Style"/>
          <w:b/>
          <w:i/>
          <w:sz w:val="24"/>
          <w:szCs w:val="24"/>
          <w:u w:val="single"/>
        </w:rPr>
        <w:t>TERMO DE CREDENCIAMENTO</w:t>
      </w:r>
      <w:r>
        <w:rPr>
          <w:rFonts w:ascii="Bookman Old Style" w:hAnsi="Bookman Old Style"/>
          <w:b/>
          <w:i/>
          <w:sz w:val="24"/>
          <w:szCs w:val="24"/>
          <w:u w:val="single"/>
          <w:lang w:val="pt-BR"/>
        </w:rPr>
        <w:t xml:space="preserve"> Nº 01/2018</w:t>
      </w:r>
    </w:p>
    <w:p>
      <w:pPr>
        <w:ind w:left="3828" w:right="-568"/>
        <w:jc w:val="both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TERMO DE CREDENCIAMENTO QUE FAZEM ENTRE SI A PREFEITURA MUNICIPAL DE PLANALTO - RS E A FIRMA GUILHERME FELIPE RODRIGUES DE SOUZA.</w:t>
      </w:r>
    </w:p>
    <w:p>
      <w:pPr>
        <w:tabs>
          <w:tab w:val="left" w:pos="142"/>
        </w:tabs>
        <w:ind w:left="-567" w:right="-56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Que celebram as partes a seguir qualificadas: Prefeitura Municipal de Planalto, Estado do Rio Grande do Sul, com sede a Rua Humberto de Campos, 732, CNPJ 87.612.891/0001-15, de direito público interno, representada neste ato pelo Sr. Prefeito Municipal em Exercício, </w:t>
      </w:r>
      <w:r>
        <w:rPr>
          <w:rFonts w:ascii="Bookman Old Style" w:hAnsi="Bookman Old Style"/>
          <w:b/>
          <w:sz w:val="24"/>
          <w:szCs w:val="24"/>
        </w:rPr>
        <w:t>GABRIEL OLKOSKI</w:t>
      </w:r>
      <w:r>
        <w:rPr>
          <w:rFonts w:ascii="Bookman Old Style" w:hAnsi="Bookman Old Style"/>
          <w:sz w:val="24"/>
          <w:szCs w:val="24"/>
        </w:rPr>
        <w:t xml:space="preserve">, brasileiro, casado, funcionário público, portador do RG 3036054827 e CPF 385.043.080-49, residente e domiciliado na Rua Tomé de Souza, n° 676, neste Município, doravante denominado como </w:t>
      </w:r>
      <w:r>
        <w:rPr>
          <w:rFonts w:ascii="Bookman Old Style" w:hAnsi="Bookman Old Style"/>
          <w:b/>
          <w:sz w:val="24"/>
          <w:szCs w:val="24"/>
        </w:rPr>
        <w:t xml:space="preserve">CREDENCIANTE. </w:t>
      </w:r>
      <w:r>
        <w:rPr>
          <w:rFonts w:ascii="Bookman Old Style" w:hAnsi="Bookman Old Style"/>
          <w:sz w:val="24"/>
          <w:szCs w:val="24"/>
        </w:rPr>
        <w:t xml:space="preserve">E de outro a saber, a RESIDENCIAL TERAPEUTICA GREEN VALLE, CPNJ 15.352.582/0001-42, estabelecida na Rua Presidente Vargas, n° 5998, Bairro São Cristóvão, Passo Fundo – RS, representada neste ato pelo seu gerente, Sr. </w:t>
      </w:r>
      <w:r>
        <w:rPr>
          <w:rFonts w:ascii="Bookman Old Style" w:hAnsi="Bookman Old Style"/>
          <w:b/>
          <w:sz w:val="24"/>
          <w:szCs w:val="24"/>
        </w:rPr>
        <w:t>GUILHERME FELIPE RODRIGUES DE SOUZA</w:t>
      </w:r>
      <w:r>
        <w:rPr>
          <w:rFonts w:ascii="Bookman Old Style" w:hAnsi="Bookman Old Style"/>
          <w:sz w:val="24"/>
          <w:szCs w:val="24"/>
        </w:rPr>
        <w:t xml:space="preserve">, denominado responsável pela </w:t>
      </w:r>
      <w:r>
        <w:rPr>
          <w:rFonts w:ascii="Bookman Old Style" w:hAnsi="Bookman Old Style"/>
          <w:b/>
          <w:sz w:val="24"/>
          <w:szCs w:val="24"/>
        </w:rPr>
        <w:t xml:space="preserve">CREDENCIADA, </w:t>
      </w:r>
      <w:r>
        <w:rPr>
          <w:rFonts w:ascii="Bookman Old Style" w:hAnsi="Bookman Old Style"/>
          <w:sz w:val="24"/>
          <w:szCs w:val="24"/>
        </w:rPr>
        <w:t>para executar a prestação de serviços descrita na Cláusula Primeira do presente instrumento.</w:t>
      </w:r>
    </w:p>
    <w:p>
      <w:pPr>
        <w:tabs>
          <w:tab w:val="left" w:pos="142"/>
        </w:tabs>
        <w:ind w:left="-567"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>CLAUSULA PRIMEIRA – DO OBJETO</w:t>
      </w:r>
    </w:p>
    <w:p>
      <w:pPr>
        <w:tabs>
          <w:tab w:val="left" w:pos="142"/>
        </w:tabs>
        <w:ind w:left="-567" w:right="-56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O presente edital objetiva o credenciamento de clinica especializada no tratamento de pessoas com dependência química e/ou transtornos psiquiátricos em regime de internação, caráter voluntário, involuntário ou compulsório, para adultos e adolescentes de ambos os sexos. Será celebrado TERMO DE CREDENCIAMENTO conforme Art. 25 e seus parágrafos da Lei 8.666/1993.  </w:t>
      </w:r>
    </w:p>
    <w:p>
      <w:pPr>
        <w:tabs>
          <w:tab w:val="left" w:pos="142"/>
        </w:tabs>
        <w:ind w:left="-567"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>CLAUSULA SEGUNDA – DO PAGAMENTO/PREÇO</w:t>
      </w:r>
    </w:p>
    <w:p>
      <w:pPr>
        <w:pStyle w:val="4"/>
        <w:numPr>
          <w:ilvl w:val="0"/>
          <w:numId w:val="1"/>
        </w:numPr>
        <w:tabs>
          <w:tab w:val="left" w:pos="142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 pagamento pelos serviços prestados pelo credenciamento será efetuado mensalmente com a apresentação da fatura, devidamente acompanhado do relatório dos procedimentos efetivamente realizados por encaminhamento do Município. O pagamento somente será efetuado mediante apresentação de documento fiscal.</w:t>
      </w:r>
    </w:p>
    <w:p>
      <w:pPr>
        <w:pStyle w:val="4"/>
        <w:numPr>
          <w:ilvl w:val="0"/>
          <w:numId w:val="1"/>
        </w:numPr>
        <w:tabs>
          <w:tab w:val="left" w:pos="142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 </w:t>
      </w:r>
      <w:r>
        <w:rPr>
          <w:rFonts w:ascii="Bookman Old Style" w:hAnsi="Bookman Old Style"/>
          <w:b/>
          <w:sz w:val="24"/>
          <w:szCs w:val="24"/>
        </w:rPr>
        <w:t xml:space="preserve">CREDENCIANTE </w:t>
      </w:r>
      <w:r>
        <w:rPr>
          <w:rFonts w:ascii="Bookman Old Style" w:hAnsi="Bookman Old Style"/>
          <w:sz w:val="24"/>
          <w:szCs w:val="24"/>
        </w:rPr>
        <w:t xml:space="preserve">pagará a </w:t>
      </w:r>
      <w:r>
        <w:rPr>
          <w:rFonts w:ascii="Bookman Old Style" w:hAnsi="Bookman Old Style"/>
          <w:b/>
          <w:sz w:val="24"/>
          <w:szCs w:val="24"/>
        </w:rPr>
        <w:t>CREDENCIADA</w:t>
      </w:r>
      <w:r>
        <w:rPr>
          <w:rFonts w:ascii="Bookman Old Style" w:hAnsi="Bookman Old Style"/>
          <w:sz w:val="24"/>
          <w:szCs w:val="24"/>
        </w:rPr>
        <w:t xml:space="preserve"> da seguinte forma:</w:t>
      </w:r>
    </w:p>
    <w:p>
      <w:pPr>
        <w:pStyle w:val="4"/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a) O internado/paciente com direito ao benefício previdenciário de até um salário mínimo, o Município complementará com o valor de R$</w:t>
      </w:r>
      <w:r>
        <w:rPr>
          <w:rFonts w:ascii="Bookman Old Style" w:hAnsi="Bookman Old Style"/>
          <w:sz w:val="24"/>
          <w:szCs w:val="24"/>
          <w:lang w:val="pt-BR"/>
        </w:rPr>
        <w:t xml:space="preserve"> 1.546,00 (Um mil, quinhentos e quarenta e seis reais)</w:t>
      </w:r>
      <w:r>
        <w:rPr>
          <w:rFonts w:ascii="Bookman Old Style" w:hAnsi="Bookman Old Style"/>
          <w:sz w:val="24"/>
          <w:szCs w:val="24"/>
        </w:rPr>
        <w:t>.</w:t>
      </w:r>
    </w:p>
    <w:p>
      <w:pPr>
        <w:pStyle w:val="4"/>
        <w:tabs>
          <w:tab w:val="left" w:pos="-426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b) O internado/paciente com o direito a dois salários mínimos não haverá complementação por parte do Município.</w:t>
      </w:r>
    </w:p>
    <w:p>
      <w:pPr>
        <w:pStyle w:val="4"/>
        <w:tabs>
          <w:tab w:val="left" w:pos="-426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c) O internado/paciente sem direito ao beneficente previdenciário, o Município pagará o valor máximo de R$</w:t>
      </w:r>
      <w:r>
        <w:rPr>
          <w:rFonts w:ascii="Bookman Old Style" w:hAnsi="Bookman Old Style"/>
          <w:sz w:val="24"/>
          <w:szCs w:val="24"/>
          <w:lang w:val="pt-BR"/>
        </w:rPr>
        <w:t xml:space="preserve"> 2.500,00 (Dois mil e quinhentos reias)</w:t>
      </w:r>
      <w:r>
        <w:rPr>
          <w:rFonts w:ascii="Bookman Old Style" w:hAnsi="Bookman Old Style"/>
          <w:sz w:val="24"/>
          <w:szCs w:val="24"/>
        </w:rPr>
        <w:t xml:space="preserve"> mensais, de acordo com os procedimentos adotados e por beneficiários. Para efeito de mês, considerar-se-á 30 dias.</w:t>
      </w:r>
    </w:p>
    <w:p>
      <w:pPr>
        <w:pStyle w:val="4"/>
        <w:numPr>
          <w:ilvl w:val="0"/>
          <w:numId w:val="1"/>
        </w:numPr>
        <w:tabs>
          <w:tab w:val="left" w:pos="-426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Não haverá reajuste de preços no prazo de vigência do contrato, e, na hipótese do contrato se estender por prazo superior a 12 (doze) meses, poderá haver incidência de correção monetária através de índice aplicado pelo Governo;</w:t>
      </w:r>
    </w:p>
    <w:p>
      <w:pPr>
        <w:pStyle w:val="4"/>
        <w:numPr>
          <w:ilvl w:val="0"/>
          <w:numId w:val="1"/>
        </w:numPr>
        <w:tabs>
          <w:tab w:val="left" w:pos="-426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Os pagamentos devidos à </w:t>
      </w:r>
      <w:r>
        <w:rPr>
          <w:rFonts w:ascii="Bookman Old Style" w:hAnsi="Bookman Old Style"/>
          <w:b/>
          <w:sz w:val="24"/>
          <w:szCs w:val="24"/>
        </w:rPr>
        <w:t>CREDENCIADA</w:t>
      </w:r>
      <w:r>
        <w:rPr>
          <w:rFonts w:ascii="Bookman Old Style" w:hAnsi="Bookman Old Style"/>
          <w:sz w:val="24"/>
          <w:szCs w:val="24"/>
        </w:rPr>
        <w:t xml:space="preserve"> deverão ser feitos em até 30 (trinta) dias após a entrada nas Notas Fiscais na Secretaria Municipal da Fazenda;</w:t>
      </w:r>
    </w:p>
    <w:p>
      <w:pPr>
        <w:pStyle w:val="4"/>
        <w:numPr>
          <w:ilvl w:val="0"/>
          <w:numId w:val="1"/>
        </w:numPr>
        <w:tabs>
          <w:tab w:val="left" w:pos="-426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 nota fiscal deverá discriminar as quantidades dos serviços efetivamente prestados, bem como o período de sua realização;</w:t>
      </w:r>
    </w:p>
    <w:p>
      <w:pPr>
        <w:pStyle w:val="4"/>
        <w:numPr>
          <w:ilvl w:val="0"/>
          <w:numId w:val="1"/>
        </w:numPr>
        <w:tabs>
          <w:tab w:val="left" w:pos="-426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Os pagamentos serão efetuados na Secretaria Municipal da Fazenda, ou em conta corrente indicada pela </w:t>
      </w:r>
      <w:r>
        <w:rPr>
          <w:rFonts w:ascii="Bookman Old Style" w:hAnsi="Bookman Old Style"/>
          <w:b/>
          <w:sz w:val="24"/>
          <w:szCs w:val="24"/>
        </w:rPr>
        <w:t>CREDENCIADA.</w:t>
      </w:r>
    </w:p>
    <w:p>
      <w:pPr>
        <w:pStyle w:val="4"/>
        <w:tabs>
          <w:tab w:val="left" w:pos="-426"/>
        </w:tabs>
        <w:ind w:left="138" w:right="-568"/>
        <w:jc w:val="both"/>
        <w:rPr>
          <w:rFonts w:ascii="Bookman Old Style" w:hAnsi="Bookman Old Style"/>
          <w:b/>
          <w:sz w:val="24"/>
          <w:szCs w:val="24"/>
        </w:rPr>
      </w:pPr>
    </w:p>
    <w:p>
      <w:pPr>
        <w:pStyle w:val="4"/>
        <w:tabs>
          <w:tab w:val="left" w:pos="-426"/>
        </w:tabs>
        <w:ind w:left="138"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CLAUSULA TERCEIRA – DA EXECUÇÃO E FISCALIZAÇÃO</w:t>
      </w:r>
    </w:p>
    <w:p>
      <w:pPr>
        <w:pStyle w:val="4"/>
        <w:tabs>
          <w:tab w:val="left" w:pos="-426"/>
        </w:tabs>
        <w:ind w:left="138" w:right="-568"/>
        <w:jc w:val="both"/>
        <w:rPr>
          <w:rFonts w:ascii="Bookman Old Style" w:hAnsi="Bookman Old Style"/>
          <w:b/>
          <w:sz w:val="24"/>
          <w:szCs w:val="24"/>
        </w:rPr>
      </w:pPr>
    </w:p>
    <w:p>
      <w:pPr>
        <w:pStyle w:val="4"/>
        <w:numPr>
          <w:ilvl w:val="0"/>
          <w:numId w:val="2"/>
        </w:numPr>
        <w:tabs>
          <w:tab w:val="left" w:pos="-426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 Município reserva-se no direito de fiscalizar, de forma permanente, a prestação de serviços credenciados, em caso de má prestação verificada em processo administrativo específico, com garantia do contraditório e ampla defesa, conforme Art. 5°, inciso LV, da Constituição Federal.</w:t>
      </w:r>
    </w:p>
    <w:p>
      <w:pPr>
        <w:pStyle w:val="4"/>
        <w:numPr>
          <w:ilvl w:val="0"/>
          <w:numId w:val="2"/>
        </w:numPr>
        <w:tabs>
          <w:tab w:val="left" w:pos="-426"/>
        </w:tabs>
        <w:ind w:left="-567" w:right="-568" w:firstLine="70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 credenciamento configurará uma relação contratual, conforme Termo de Credenciamento a ser firmado, declarando esta apta a realizar, dentro de suas condições técnicas e profissionais devidamente comprovadas na data de credenciamento; </w:t>
      </w:r>
    </w:p>
    <w:p>
      <w:pPr>
        <w:tabs>
          <w:tab w:val="left" w:pos="-426"/>
        </w:tabs>
        <w:ind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CLAUSULA QUARTA – DAS OBRIGAÇÕES DAS PARTES</w:t>
      </w:r>
    </w:p>
    <w:p>
      <w:pPr>
        <w:pStyle w:val="4"/>
        <w:tabs>
          <w:tab w:val="left" w:pos="-426"/>
        </w:tabs>
        <w:ind w:left="360"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1 - DA CREDENCIADA: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Prestar diretamente os serviços, vedada a terceirização, salvo nos casos de exames laboratoriais ou outros procedimentos clínicos subsidiários inerentes à terapêutica adotada;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Manter regime de internação por 24 horas ininterruptas durante o período de tratamento;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Possuir condições de atender pacientes pós-crise/surto, oferecendo condições de se manter fora da tutela da clínica para prosseguimento nos CAPS ou ambulatórios; 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Manter a equipe multidisciplinar, garantindo equipe de enfermagem 14 horas por dia; 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Realizar durante a internação os exames complementares que forem necessários; 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Prestar assistência clínica e médico psiquiátrico sempre que se fizer necessário; 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Sujeitar-se a fiscalização municipal;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Comunicar imediatamente a credenciante e a família do paciente eventual caso de fuga ou evasão; 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Atender a solicitação de internação a cargo das Secretarias Municipais de Saúde ou Assistência Social, no prazo máximo de 3 (três) dias úteis;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Disponibilizar com a internação a alimentação, recreação e acompanhamento de profissional para melhor recuperação do internado;</w:t>
      </w:r>
    </w:p>
    <w:p>
      <w:pPr>
        <w:pStyle w:val="4"/>
        <w:numPr>
          <w:ilvl w:val="0"/>
          <w:numId w:val="3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É de responsabilidade exclusiva e integral da Pessoa Jurídica Credenciada a utilização de pessoal capacitado para a execução dos respectivos procedimentos, incluídos encargos trabalhistas previdenciários, sociais, fiscais e comerciais resultantes de vínculo empregatício, cujo ônus e obrigações, em nenhuma hipótese, poderão ser transferidos para o Município.</w:t>
      </w:r>
    </w:p>
    <w:p>
      <w:pPr>
        <w:tabs>
          <w:tab w:val="left" w:pos="-426"/>
        </w:tabs>
        <w:ind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2 - DO CREDENCIANTE</w:t>
      </w:r>
    </w:p>
    <w:p>
      <w:pPr>
        <w:pStyle w:val="4"/>
        <w:numPr>
          <w:ilvl w:val="0"/>
          <w:numId w:val="4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Pagar a clínica credenciada pelos serviços contratados;</w:t>
      </w:r>
    </w:p>
    <w:p>
      <w:pPr>
        <w:pStyle w:val="4"/>
        <w:numPr>
          <w:ilvl w:val="0"/>
          <w:numId w:val="4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Exercer regulação, controle e avaliação dos serviços prestados, autorizando os procedimentos a serem realizados;</w:t>
      </w:r>
    </w:p>
    <w:p>
      <w:pPr>
        <w:pStyle w:val="4"/>
        <w:numPr>
          <w:ilvl w:val="0"/>
          <w:numId w:val="4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Fazer o encaminhamento dos usuários do SUS ao estabelecimento credenciado através da rede de serviços de saúde mental;</w:t>
      </w:r>
    </w:p>
    <w:p>
      <w:pPr>
        <w:pStyle w:val="4"/>
        <w:numPr>
          <w:ilvl w:val="0"/>
          <w:numId w:val="4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Prestar as informações necessárias, com clareza, ao credenciado para a execução dos serviços;</w:t>
      </w:r>
    </w:p>
    <w:p>
      <w:pPr>
        <w:pStyle w:val="4"/>
        <w:numPr>
          <w:ilvl w:val="0"/>
          <w:numId w:val="4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Periodicamente vistoriar e fiscalizar as instalações da entidade prestadora de serviços, a fim de verificar se as condições persistem ao tempo da assinatura do Termo de Credenciamento; </w:t>
      </w:r>
    </w:p>
    <w:p>
      <w:pPr>
        <w:pStyle w:val="4"/>
        <w:numPr>
          <w:numId w:val="0"/>
        </w:numPr>
        <w:tabs>
          <w:tab w:val="left" w:pos="-426"/>
        </w:tabs>
        <w:spacing w:after="200" w:line="276" w:lineRule="auto"/>
        <w:ind w:right="-568" w:rightChars="0"/>
        <w:contextualSpacing/>
        <w:jc w:val="both"/>
        <w:rPr>
          <w:rFonts w:ascii="Bookman Old Style" w:hAnsi="Bookman Old Style"/>
          <w:sz w:val="24"/>
          <w:szCs w:val="24"/>
        </w:rPr>
      </w:pPr>
    </w:p>
    <w:p>
      <w:pPr>
        <w:pStyle w:val="4"/>
        <w:numPr>
          <w:numId w:val="0"/>
        </w:numPr>
        <w:tabs>
          <w:tab w:val="left" w:pos="-426"/>
        </w:tabs>
        <w:spacing w:after="200" w:line="276" w:lineRule="auto"/>
        <w:ind w:right="-568" w:rightChars="0"/>
        <w:contextualSpacing/>
        <w:jc w:val="both"/>
        <w:rPr>
          <w:rFonts w:ascii="Bookman Old Style" w:hAnsi="Bookman Old Style"/>
          <w:sz w:val="24"/>
          <w:szCs w:val="24"/>
        </w:rPr>
      </w:pPr>
    </w:p>
    <w:p>
      <w:pPr>
        <w:tabs>
          <w:tab w:val="left" w:pos="-426"/>
        </w:tabs>
        <w:ind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CLAUSULA QUINTA – DO DESCREDENCIAMENTO </w:t>
      </w:r>
    </w:p>
    <w:p>
      <w:pPr>
        <w:pStyle w:val="4"/>
        <w:numPr>
          <w:ilvl w:val="0"/>
          <w:numId w:val="5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Será descredenciada a clínica que não cumprir de forma satisfatória os serviços estabelecidos no Termo de Credenciamento, independente de aplicação de penalidade, sem existir à credenciada direito a qualquer indenização, ficando a garantido o contraditório e ampla defesa, conforme Art. 5°, inciso LV, da Constituição Federal.</w:t>
      </w:r>
    </w:p>
    <w:p>
      <w:pPr>
        <w:pStyle w:val="4"/>
        <w:numPr>
          <w:ilvl w:val="0"/>
          <w:numId w:val="5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Constitui-se ainda motivos para a suspensão do Termo de Credenciamento por parte da credenciante, garantida a defesa prévia: </w:t>
      </w:r>
    </w:p>
    <w:p>
      <w:pPr>
        <w:pStyle w:val="4"/>
        <w:numPr>
          <w:ilvl w:val="0"/>
          <w:numId w:val="6"/>
        </w:numPr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Atender os beneficiários de forma discriminada e prejudicial, devidamente comprovada;</w:t>
      </w:r>
    </w:p>
    <w:p>
      <w:pPr>
        <w:pStyle w:val="4"/>
        <w:numPr>
          <w:ilvl w:val="0"/>
          <w:numId w:val="6"/>
        </w:numPr>
        <w:tabs>
          <w:tab w:val="left" w:pos="-426"/>
        </w:tabs>
        <w:ind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Exigir caução para o atendimento aos beneficiários;</w:t>
      </w:r>
    </w:p>
    <w:p>
      <w:pPr>
        <w:pStyle w:val="4"/>
        <w:numPr>
          <w:ilvl w:val="0"/>
          <w:numId w:val="6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Cobrar diretamente do beneficiário, exceto o benefício previdenciário, valores referentes aos serviços prestados a título de complementação de pagamento do Município; </w:t>
      </w:r>
    </w:p>
    <w:p>
      <w:pPr>
        <w:pStyle w:val="4"/>
        <w:numPr>
          <w:ilvl w:val="0"/>
          <w:numId w:val="6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Reincidir na cobrança de serviços executados, ou executados irregularmente, devidamente comprovado;</w:t>
      </w:r>
    </w:p>
    <w:p>
      <w:pPr>
        <w:pStyle w:val="4"/>
        <w:numPr>
          <w:ilvl w:val="0"/>
          <w:numId w:val="6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Agir de má fé, com dolo ou fraude, causando prejuízos ao credenciante ou beneficiário;</w:t>
      </w:r>
    </w:p>
    <w:p>
      <w:pPr>
        <w:pStyle w:val="4"/>
        <w:numPr>
          <w:ilvl w:val="0"/>
          <w:numId w:val="6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Deixar de comunicar o Município credenciante, injustificadamente, alterações cadastrais e de endereço;</w:t>
      </w:r>
    </w:p>
    <w:p>
      <w:pPr>
        <w:pStyle w:val="4"/>
        <w:numPr>
          <w:ilvl w:val="0"/>
          <w:numId w:val="6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Deixar de atender aos beneficiários alegando atraso dos valores já ajustados;</w:t>
      </w:r>
    </w:p>
    <w:p>
      <w:pPr>
        <w:pStyle w:val="4"/>
        <w:numPr>
          <w:ilvl w:val="0"/>
          <w:numId w:val="5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Ficam também asseguradas as partes a possibilidade de, a qualquer tempo, denunciar o ajuste, notificando previamente a contraparte, no prazo de 90 (noventa) dias;</w:t>
      </w:r>
    </w:p>
    <w:p>
      <w:pPr>
        <w:pStyle w:val="4"/>
        <w:numPr>
          <w:ilvl w:val="0"/>
          <w:numId w:val="5"/>
        </w:numPr>
        <w:tabs>
          <w:tab w:val="left" w:pos="-426"/>
        </w:tabs>
        <w:ind w:left="-567" w:right="-568" w:firstLine="92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 descredenciamento solicitado pela credenciada será efetivado somente após o término do tratamento ou após a remoção dos pacientes para outra clínica;</w:t>
      </w:r>
    </w:p>
    <w:p>
      <w:pPr>
        <w:tabs>
          <w:tab w:val="left" w:pos="-426"/>
        </w:tabs>
        <w:ind w:right="-56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CLAUSULA SÉTIMA – DA VIGÊNCIA E PRORROGAÇÃO</w:t>
      </w:r>
    </w:p>
    <w:p>
      <w:pPr>
        <w:tabs>
          <w:tab w:val="left" w:pos="-426"/>
        </w:tabs>
        <w:ind w:left="-567" w:right="-568" w:firstLine="56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 presente Termo de Credenciamento vigorará por 12 (doze) meses, podendo ser prorrogado por igual período.</w:t>
      </w:r>
    </w:p>
    <w:p>
      <w:pPr>
        <w:tabs>
          <w:tab w:val="left" w:pos="-426"/>
        </w:tabs>
        <w:ind w:left="-567" w:right="-568" w:firstLine="567"/>
        <w:jc w:val="both"/>
        <w:rPr>
          <w:rFonts w:ascii="Bookman Old Style" w:hAnsi="Bookman Old Style"/>
          <w:sz w:val="24"/>
          <w:szCs w:val="24"/>
        </w:rPr>
      </w:pPr>
    </w:p>
    <w:p>
      <w:pPr>
        <w:tabs>
          <w:tab w:val="left" w:pos="-426"/>
        </w:tabs>
        <w:ind w:left="-567" w:right="-568" w:firstLine="567"/>
        <w:jc w:val="both"/>
        <w:rPr>
          <w:rFonts w:ascii="Bookman Old Style" w:hAnsi="Bookman Old Style"/>
          <w:sz w:val="24"/>
          <w:szCs w:val="24"/>
        </w:rPr>
      </w:pPr>
    </w:p>
    <w:p>
      <w:pPr>
        <w:tabs>
          <w:tab w:val="left" w:pos="-426"/>
        </w:tabs>
        <w:ind w:left="-567" w:right="-568" w:firstLine="567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CLAUSULA OITAVA – DISPOSIÇÕES GERAIS</w:t>
      </w:r>
    </w:p>
    <w:p>
      <w:pPr>
        <w:ind w:left="-567" w:right="-563" w:firstLine="567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Fica eleito o foro da Comarca de Planalto para dirimir eventuais dúvidas que possam advir do presente termo. E, por estarem assim, plenamente acordados, assinam o presente Termo de Credenciamento, elaborado em duas vias de igual teor e forma, na presença de duas testemunhas idôneas.</w:t>
      </w:r>
    </w:p>
    <w:p>
      <w:pPr>
        <w:tabs>
          <w:tab w:val="left" w:pos="-426"/>
        </w:tabs>
        <w:ind w:left="-567" w:right="-568" w:firstLine="567"/>
        <w:jc w:val="both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>
      <w:pPr>
        <w:tabs>
          <w:tab w:val="left" w:pos="-426"/>
        </w:tabs>
        <w:ind w:right="-568"/>
        <w:jc w:val="right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Planalto – RS, </w:t>
      </w:r>
      <w:r>
        <w:rPr>
          <w:rFonts w:ascii="Bookman Old Style" w:hAnsi="Bookman Old Style"/>
          <w:b/>
          <w:sz w:val="24"/>
          <w:szCs w:val="24"/>
          <w:lang w:val="pt-BR"/>
        </w:rPr>
        <w:t>04</w:t>
      </w:r>
      <w:r>
        <w:rPr>
          <w:rFonts w:ascii="Bookman Old Style" w:hAnsi="Bookman Old Style"/>
          <w:b/>
          <w:sz w:val="24"/>
          <w:szCs w:val="24"/>
        </w:rPr>
        <w:t xml:space="preserve"> de junho de 2018.</w:t>
      </w:r>
    </w:p>
    <w:p>
      <w:pPr>
        <w:tabs>
          <w:tab w:val="left" w:pos="-426"/>
        </w:tabs>
        <w:ind w:right="-568"/>
        <w:jc w:val="right"/>
        <w:rPr>
          <w:rFonts w:ascii="Bookman Old Style" w:hAnsi="Bookman Old Style"/>
          <w:b/>
          <w:sz w:val="24"/>
          <w:szCs w:val="24"/>
        </w:rPr>
      </w:pPr>
    </w:p>
    <w:p>
      <w:pPr>
        <w:tabs>
          <w:tab w:val="left" w:pos="-426"/>
        </w:tabs>
        <w:ind w:right="-568"/>
        <w:jc w:val="right"/>
        <w:rPr>
          <w:rFonts w:ascii="Bookman Old Style" w:hAnsi="Bookman Old Style"/>
          <w:b/>
          <w:sz w:val="24"/>
          <w:szCs w:val="24"/>
        </w:rPr>
      </w:pPr>
    </w:p>
    <w:p>
      <w:pPr>
        <w:tabs>
          <w:tab w:val="left" w:pos="-426"/>
        </w:tabs>
        <w:ind w:right="-568"/>
        <w:jc w:val="right"/>
        <w:rPr>
          <w:rFonts w:ascii="Bookman Old Style" w:hAnsi="Bookman Old Style"/>
          <w:b/>
          <w:sz w:val="24"/>
          <w:szCs w:val="24"/>
        </w:rPr>
      </w:pPr>
    </w:p>
    <w:p>
      <w:pPr>
        <w:tabs>
          <w:tab w:val="left" w:pos="-426"/>
        </w:tabs>
        <w:ind w:right="-568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CREDENCIANTE</w:t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 xml:space="preserve">      CREDENCIADA</w:t>
      </w:r>
    </w:p>
    <w:p>
      <w:pPr>
        <w:tabs>
          <w:tab w:val="left" w:pos="-426"/>
        </w:tabs>
        <w:ind w:right="-568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GABRIEL OLKOSKI</w:t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>GUILHERME F. R. DE SOUZA</w:t>
      </w:r>
    </w:p>
    <w:p>
      <w:pPr>
        <w:tabs>
          <w:tab w:val="left" w:pos="-426"/>
        </w:tabs>
        <w:ind w:right="-568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Prefeito Municipal em Exercício</w:t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</w:rPr>
        <w:t xml:space="preserve">   RESIDENCIAL GREEN VALLE</w:t>
      </w:r>
    </w:p>
    <w:p>
      <w:pPr>
        <w:tabs>
          <w:tab w:val="left" w:pos="-426"/>
        </w:tabs>
        <w:ind w:right="-568"/>
        <w:rPr>
          <w:rFonts w:ascii="Bookman Old Style" w:hAnsi="Bookman Old Style"/>
          <w:b/>
          <w:sz w:val="24"/>
          <w:szCs w:val="24"/>
        </w:rPr>
      </w:pPr>
    </w:p>
    <w:p>
      <w:pPr>
        <w:tabs>
          <w:tab w:val="left" w:pos="-426"/>
        </w:tabs>
        <w:ind w:right="-568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Testemunhas:</w:t>
      </w:r>
    </w:p>
    <w:p>
      <w:pPr>
        <w:tabs>
          <w:tab w:val="left" w:pos="-426"/>
        </w:tabs>
        <w:ind w:right="-568"/>
        <w:rPr>
          <w:rFonts w:ascii="Bookman Old Style" w:hAnsi="Bookman Old Style"/>
          <w:b/>
          <w:sz w:val="24"/>
          <w:szCs w:val="24"/>
        </w:rPr>
      </w:pPr>
    </w:p>
    <w:p>
      <w:pPr>
        <w:pStyle w:val="4"/>
        <w:numPr>
          <w:ilvl w:val="0"/>
          <w:numId w:val="7"/>
        </w:numPr>
        <w:tabs>
          <w:tab w:val="left" w:pos="-426"/>
        </w:tabs>
        <w:ind w:right="-568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______________________________________ CPF/RG: _____________________</w:t>
      </w:r>
    </w:p>
    <w:p>
      <w:pPr>
        <w:pStyle w:val="4"/>
        <w:tabs>
          <w:tab w:val="left" w:pos="-426"/>
        </w:tabs>
        <w:ind w:right="-568"/>
        <w:rPr>
          <w:rFonts w:ascii="Bookman Old Style" w:hAnsi="Bookman Old Style"/>
          <w:b/>
          <w:sz w:val="24"/>
          <w:szCs w:val="24"/>
        </w:rPr>
      </w:pPr>
    </w:p>
    <w:p>
      <w:pPr>
        <w:pStyle w:val="4"/>
        <w:numPr>
          <w:ilvl w:val="0"/>
          <w:numId w:val="7"/>
        </w:numPr>
        <w:tabs>
          <w:tab w:val="left" w:pos="-426"/>
        </w:tabs>
        <w:ind w:right="-568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______________________________________ CPF/RG: _____________________</w:t>
      </w:r>
    </w:p>
    <w:sectPr>
      <w:pgSz w:w="11906" w:h="16838"/>
      <w:pgMar w:top="3544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7421"/>
    <w:multiLevelType w:val="multilevel"/>
    <w:tmpl w:val="09E37421"/>
    <w:lvl w:ilvl="0" w:tentative="0">
      <w:start w:val="1"/>
      <w:numFmt w:val="lowerLetter"/>
      <w:lvlText w:val="%1)"/>
      <w:lvlJc w:val="left"/>
      <w:pPr>
        <w:ind w:left="720" w:hanging="360"/>
      </w:pPr>
      <w:rPr>
        <w:rFonts w:ascii="Bookman Old Style" w:hAnsi="Bookman Old Style" w:eastAsiaTheme="minorHAnsi" w:cstheme="minorBidi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D3DB4"/>
    <w:multiLevelType w:val="multilevel"/>
    <w:tmpl w:val="312D3DB4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C71A0"/>
    <w:multiLevelType w:val="multilevel"/>
    <w:tmpl w:val="42FC71A0"/>
    <w:lvl w:ilvl="0" w:tentative="0">
      <w:start w:val="1"/>
      <w:numFmt w:val="decimal"/>
      <w:lvlText w:val="%1-"/>
      <w:lvlJc w:val="left"/>
      <w:pPr>
        <w:ind w:left="49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218" w:hanging="360"/>
      </w:pPr>
    </w:lvl>
    <w:lvl w:ilvl="2" w:tentative="0">
      <w:start w:val="1"/>
      <w:numFmt w:val="lowerRoman"/>
      <w:lvlText w:val="%3."/>
      <w:lvlJc w:val="right"/>
      <w:pPr>
        <w:ind w:left="1938" w:hanging="180"/>
      </w:pPr>
    </w:lvl>
    <w:lvl w:ilvl="3" w:tentative="0">
      <w:start w:val="1"/>
      <w:numFmt w:val="decimal"/>
      <w:lvlText w:val="%4."/>
      <w:lvlJc w:val="left"/>
      <w:pPr>
        <w:ind w:left="2658" w:hanging="360"/>
      </w:pPr>
    </w:lvl>
    <w:lvl w:ilvl="4" w:tentative="0">
      <w:start w:val="1"/>
      <w:numFmt w:val="lowerLetter"/>
      <w:lvlText w:val="%5."/>
      <w:lvlJc w:val="left"/>
      <w:pPr>
        <w:ind w:left="3378" w:hanging="360"/>
      </w:pPr>
    </w:lvl>
    <w:lvl w:ilvl="5" w:tentative="0">
      <w:start w:val="1"/>
      <w:numFmt w:val="lowerRoman"/>
      <w:lvlText w:val="%6."/>
      <w:lvlJc w:val="right"/>
      <w:pPr>
        <w:ind w:left="4098" w:hanging="180"/>
      </w:pPr>
    </w:lvl>
    <w:lvl w:ilvl="6" w:tentative="0">
      <w:start w:val="1"/>
      <w:numFmt w:val="decimal"/>
      <w:lvlText w:val="%7."/>
      <w:lvlJc w:val="left"/>
      <w:pPr>
        <w:ind w:left="4818" w:hanging="360"/>
      </w:pPr>
    </w:lvl>
    <w:lvl w:ilvl="7" w:tentative="0">
      <w:start w:val="1"/>
      <w:numFmt w:val="lowerLetter"/>
      <w:lvlText w:val="%8."/>
      <w:lvlJc w:val="left"/>
      <w:pPr>
        <w:ind w:left="5538" w:hanging="360"/>
      </w:pPr>
    </w:lvl>
    <w:lvl w:ilvl="8" w:tentative="0">
      <w:start w:val="1"/>
      <w:numFmt w:val="lowerRoman"/>
      <w:lvlText w:val="%9."/>
      <w:lvlJc w:val="right"/>
      <w:pPr>
        <w:ind w:left="6258" w:hanging="180"/>
      </w:pPr>
    </w:lvl>
  </w:abstractNum>
  <w:abstractNum w:abstractNumId="3">
    <w:nsid w:val="439C6F87"/>
    <w:multiLevelType w:val="multilevel"/>
    <w:tmpl w:val="439C6F87"/>
    <w:lvl w:ilvl="0" w:tentative="0">
      <w:start w:val="1"/>
      <w:numFmt w:val="lowerLetter"/>
      <w:lvlText w:val="%1)"/>
      <w:lvlJc w:val="left"/>
      <w:pPr>
        <w:ind w:left="360" w:hanging="360"/>
      </w:pPr>
      <w:rPr>
        <w:rFonts w:ascii="Bookman Old Style" w:hAnsi="Bookman Old Style" w:eastAsiaTheme="minorHAnsi" w:cstheme="minorBidi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885633"/>
    <w:multiLevelType w:val="multilevel"/>
    <w:tmpl w:val="44885633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4E4AD3"/>
    <w:multiLevelType w:val="multilevel"/>
    <w:tmpl w:val="604E4AD3"/>
    <w:lvl w:ilvl="0" w:tentative="0">
      <w:start w:val="1"/>
      <w:numFmt w:val="decimal"/>
      <w:lvlText w:val="%1-"/>
      <w:lvlJc w:val="left"/>
      <w:pPr>
        <w:ind w:left="49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218" w:hanging="360"/>
      </w:pPr>
    </w:lvl>
    <w:lvl w:ilvl="2" w:tentative="0">
      <w:start w:val="1"/>
      <w:numFmt w:val="lowerRoman"/>
      <w:lvlText w:val="%3."/>
      <w:lvlJc w:val="right"/>
      <w:pPr>
        <w:ind w:left="1938" w:hanging="180"/>
      </w:pPr>
    </w:lvl>
    <w:lvl w:ilvl="3" w:tentative="0">
      <w:start w:val="1"/>
      <w:numFmt w:val="decimal"/>
      <w:lvlText w:val="%4."/>
      <w:lvlJc w:val="left"/>
      <w:pPr>
        <w:ind w:left="2658" w:hanging="360"/>
      </w:pPr>
    </w:lvl>
    <w:lvl w:ilvl="4" w:tentative="0">
      <w:start w:val="1"/>
      <w:numFmt w:val="lowerLetter"/>
      <w:lvlText w:val="%5."/>
      <w:lvlJc w:val="left"/>
      <w:pPr>
        <w:ind w:left="3378" w:hanging="360"/>
      </w:pPr>
    </w:lvl>
    <w:lvl w:ilvl="5" w:tentative="0">
      <w:start w:val="1"/>
      <w:numFmt w:val="lowerRoman"/>
      <w:lvlText w:val="%6."/>
      <w:lvlJc w:val="right"/>
      <w:pPr>
        <w:ind w:left="4098" w:hanging="180"/>
      </w:pPr>
    </w:lvl>
    <w:lvl w:ilvl="6" w:tentative="0">
      <w:start w:val="1"/>
      <w:numFmt w:val="decimal"/>
      <w:lvlText w:val="%7."/>
      <w:lvlJc w:val="left"/>
      <w:pPr>
        <w:ind w:left="4818" w:hanging="360"/>
      </w:pPr>
    </w:lvl>
    <w:lvl w:ilvl="7" w:tentative="0">
      <w:start w:val="1"/>
      <w:numFmt w:val="lowerLetter"/>
      <w:lvlText w:val="%8."/>
      <w:lvlJc w:val="left"/>
      <w:pPr>
        <w:ind w:left="5538" w:hanging="360"/>
      </w:pPr>
    </w:lvl>
    <w:lvl w:ilvl="8" w:tentative="0">
      <w:start w:val="1"/>
      <w:numFmt w:val="lowerRoman"/>
      <w:lvlText w:val="%9."/>
      <w:lvlJc w:val="right"/>
      <w:pPr>
        <w:ind w:left="6258" w:hanging="180"/>
      </w:pPr>
    </w:lvl>
  </w:abstractNum>
  <w:abstractNum w:abstractNumId="6">
    <w:nsid w:val="6BFE43F8"/>
    <w:multiLevelType w:val="multilevel"/>
    <w:tmpl w:val="6BFE43F8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545"/>
    <w:rsid w:val="00011F94"/>
    <w:rsid w:val="000623F0"/>
    <w:rsid w:val="000638F7"/>
    <w:rsid w:val="001B38DC"/>
    <w:rsid w:val="00227708"/>
    <w:rsid w:val="0029587F"/>
    <w:rsid w:val="002B7337"/>
    <w:rsid w:val="002D1979"/>
    <w:rsid w:val="003E3604"/>
    <w:rsid w:val="004B4CA5"/>
    <w:rsid w:val="005361A7"/>
    <w:rsid w:val="005F7545"/>
    <w:rsid w:val="00717868"/>
    <w:rsid w:val="007E7B5F"/>
    <w:rsid w:val="008F567C"/>
    <w:rsid w:val="00983F24"/>
    <w:rsid w:val="00B43A5C"/>
    <w:rsid w:val="00B6198D"/>
    <w:rsid w:val="00E2504C"/>
    <w:rsid w:val="00E30D6C"/>
    <w:rsid w:val="27590E3D"/>
    <w:rsid w:val="46E7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724E72-9290-4269-9CC0-5328CF985ED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1232</Words>
  <Characters>6659</Characters>
  <Lines>55</Lines>
  <Paragraphs>15</Paragraphs>
  <ScaleCrop>false</ScaleCrop>
  <LinksUpToDate>false</LinksUpToDate>
  <CharactersWithSpaces>7876</CharactersWithSpaces>
  <Application>WPS Office_10.2.0.6051_F1E327BC-269C-435d-A152-05C5408002CA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2018-06-11T16:46:00Z</dcterms:created>
  <dc:creator>ADM</dc:creator>
  <cp:lastModifiedBy>Mari</cp:lastModifiedBy>
  <dcterms:modified xsi:type="dcterms:W3CDTF">2018-06-12T11:24:33Z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1046-10.2.0.6051</vt:lpwstr>
  </property>
</Properties>
</file>