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ATA REGISTRO DE PREÇOS Nº.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35/</w:t>
      </w:r>
      <w:r>
        <w:rPr>
          <w:rFonts w:hint="default" w:ascii="Times New Roman" w:hAnsi="Times New Roman" w:cs="Times New Roman"/>
          <w:b/>
          <w:sz w:val="24"/>
          <w:szCs w:val="24"/>
        </w:rPr>
        <w:t>2022</w:t>
      </w:r>
    </w:p>
    <w:p>
      <w:pPr>
        <w:spacing w:beforeLines="0" w:afterLines="0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ind w:left="396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ALTAIR SARTORI ME</w:t>
      </w:r>
      <w:r>
        <w:rPr>
          <w:rFonts w:hint="default" w:ascii="Times New Roman" w:hAnsi="Times New Roman" w:cs="Times New Roman"/>
          <w:sz w:val="24"/>
          <w:szCs w:val="24"/>
        </w:rPr>
        <w:t xml:space="preserve"> objetivando a POSSÍVEL AQUISIÇÃO DE MATERIAIS PARA CONSTRUÇÃO DIVERSOS E TUBOS DE CONCRETO.</w:t>
      </w:r>
    </w:p>
    <w:p>
      <w:pPr>
        <w:spacing w:beforeLines="0" w:afterLines="0"/>
        <w:ind w:left="5102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Aos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vinte e três</w:t>
      </w:r>
      <w:r>
        <w:rPr>
          <w:rFonts w:hint="default" w:ascii="Times New Roman" w:hAnsi="Times New Roman" w:cs="Times New Roman"/>
          <w:sz w:val="24"/>
          <w:szCs w:val="24"/>
        </w:rPr>
        <w:t xml:space="preserve"> dias do mês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junho </w:t>
      </w:r>
      <w:r>
        <w:rPr>
          <w:rFonts w:hint="default" w:ascii="Times New Roman" w:hAnsi="Times New Roman" w:cs="Times New Roman"/>
          <w:sz w:val="24"/>
          <w:szCs w:val="24"/>
        </w:rPr>
        <w:t xml:space="preserve">de dois mil 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vinte e dois</w:t>
      </w:r>
      <w:r>
        <w:rPr>
          <w:rFonts w:hint="default" w:ascii="Times New Roman" w:hAnsi="Times New Roman" w:cs="Times New Roman"/>
          <w:sz w:val="24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ALTAIR SARTORI ME</w:t>
      </w:r>
      <w:r>
        <w:rPr>
          <w:rFonts w:hint="default" w:ascii="Times New Roman" w:hAnsi="Times New Roman" w:cs="Times New Roman"/>
          <w:sz w:val="24"/>
          <w:szCs w:val="24"/>
        </w:rPr>
        <w:t xml:space="preserve">, CNPJ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07.360.649/0001-62</w:t>
      </w:r>
      <w:r>
        <w:rPr>
          <w:rFonts w:hint="default" w:ascii="Times New Roman" w:hAnsi="Times New Roman" w:cs="Times New Roman"/>
          <w:sz w:val="24"/>
          <w:szCs w:val="24"/>
        </w:rPr>
        <w:t>, com sede n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Rua Tenente Portela, 200</w:t>
      </w:r>
      <w:r>
        <w:rPr>
          <w:rFonts w:hint="default" w:ascii="Times New Roman" w:hAnsi="Times New Roman" w:cs="Times New Roman"/>
          <w:sz w:val="24"/>
          <w:szCs w:val="24"/>
        </w:rPr>
        <w:t xml:space="preserve">, Município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Planalto-RS</w:t>
      </w:r>
      <w:r>
        <w:rPr>
          <w:rFonts w:hint="default" w:ascii="Times New Roman" w:hAnsi="Times New Roman" w:cs="Times New Roman"/>
          <w:sz w:val="24"/>
          <w:szCs w:val="24"/>
        </w:rPr>
        <w:t>, aqui denominada “PROMITENTE FORNECEDORA”, nos termos do Art. 15 da Lei Federal nº. 8.666 de 21 de Junho de 1993 e alterações; Lei Federal nº. 10.520/2002; Decreto MunicipaL n.º 05/2020 e demais normas legais aplicáveis, considerando o resultado do Pregão Presencial nº. 23/2022,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1.1 Através da presente ata ficam registrados os seguintes preços, POSSÍVEL AQUISIÇÃO DE MATERIAIS PARA CONSTRUÇÃO DIVERSOS E TUBOS DE CONCRETO ; Pregão Presencial nº. 23/2022; Ata Registro de Preço nº.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35</w:t>
      </w:r>
      <w:r>
        <w:rPr>
          <w:rFonts w:hint="default" w:ascii="Times New Roman" w:hAnsi="Times New Roman" w:cs="Times New Roman"/>
          <w:sz w:val="24"/>
          <w:szCs w:val="24"/>
        </w:rPr>
        <w:t>/2021,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 A Ata de Registro de Preços terá validade de 12 meses a contar da assinatura.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2.4 Em cada aquisição decorrente desta Ata serão observadas, quanto ao preço, às cláusulas e condições constantes do edital do Pregão Presencial nº 23/2022,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1107"/>
        <w:gridCol w:w="601"/>
        <w:gridCol w:w="4616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Empresa: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ALTAIR SARTORI ME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end"/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-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2986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Unid.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10.000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UN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TIJOLO MACIÇO.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0,50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5.000,00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10.000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UN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TIJOLO 06 FUROS.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0,55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5.500,00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11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30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DZ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TÁBUA DE PINHEIRO AMERICANO 30X5,50.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713,00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21.390,00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12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40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DZ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TÁBUA DE EUCALIPTO 20X4.00.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300,00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12.000,00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43.890,00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 Os preços fixados nesta clausula, são considerados completos, abrangendo todo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d</w:t>
      </w:r>
      <w:r>
        <w:rPr>
          <w:rFonts w:hint="default" w:ascii="Times New Roman" w:hAnsi="Times New Roman" w:cs="Times New Roman"/>
          <w:sz w:val="24"/>
          <w:szCs w:val="24"/>
        </w:rPr>
        <w:t>os custos.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QUARTA - DO REEQUILÍBRIO ECONÔMICO-INANCEIRO/REAJUSTE.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4.1 O beneficiário poderá solicitar o reequilíbrio econômico-financeiro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d da Lei 8.666/93).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4.2 O reequilíbrio econômico-financeiro não poderá ultrapassar o preço praticado no mercado, e deverá manter a diferença percentual apurada entre o preço originalmente constante na proposta, e o preço de mercado vigente à época do pedido de revisão dos preços.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4.3 O pedido de reequilíbrio econômico-financeiro praticados poderá acarretar pesquisa de preços junto aos demais fornecedores.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4.4 O reequilíbrio econômico-financeiro não será concedido no primeiro trimestre após a assinatura da Ata de Registro de Preços, devendo o proponente considerar possíveis aumentos para fins de elaboração da proposta.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4.5. PARA SER CONCEDIDO O REEQUILIBRIO ECONÔMICO-FINANCEIRO SERÁ SEGUIDO 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O</w:t>
      </w:r>
      <w:r>
        <w:rPr>
          <w:rFonts w:hint="default" w:ascii="Times New Roman" w:hAnsi="Times New Roman" w:cs="Times New Roman"/>
          <w:sz w:val="24"/>
          <w:szCs w:val="24"/>
        </w:rPr>
        <w:t>RIENTAÇÃO DO TRIBUNAL DE CONTAS DA UNIÃO – TCU: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Para que possa ser autorizado e concedido o reequilíbrio econômico financeiro do contrato pedido pelo contratado, a Administração tem que verificar: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os custos dos itens constantes da proposta contratada, em confronto com a planilha de custos que deve acompanhar a solicitação de reequilíbrio;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ao encaminhar à Administração pedido de reequilíbrio econômico financeiro, deve o contratado demonstrar quais itens da planilha de custos estão economicamente defasados e que estão ocasionando desequilíbrio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ocorrência de fato imprevisível, ou previsível porém de consequências incalculáveis, que justifique modificações do contrato para mais ou para menos.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QUINTA –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5.1. O objeto somente será aceito se atender claramente a descrição.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SEXTA - OBRIGAÇÕES DA “PROMITENTE FORNECEDORA”.COMPETE A “PROMITENTE FORNECEDORA”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 Submeter-se à fiscalização do órgão responsável.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6.2. Cumprir os prazos estabelecidos neste instrumento.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6.4. Pagar todos os tributos devidos, referentes à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SÉTIMA – DAS OBRIGAÇÕES DAS PARTES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OITAVA - DA ENTREGA E PRAZOS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8.1 - O fornecimento será efetuado de forma parcelada, de acordo com a necessidade, em um prazo médio de 12 (doze) meses.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8.4 - Os materiais deverão ser entregues no prazo de 10 (dez) dias após a ordem de compra ou emissão do empenho prévio.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NONA - SANÇÕES ADMINISTRATIVAS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9.2. As penalidades serão registradas no cadastro da contratada, quando for o caso.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que for imposta ao fornecedor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DECIMA - RESCISÃO CANCELAMENTO DA ATA DE REGISTRO DE PREÇOS.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10.1.1 Descumprimento de qualquer cláusula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10.1.6 Transferência a terceiros, total ou parcial,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10.1.7 Dissolução da “PROMITENTE FORNECEDORA”.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10.5.1 A detentora não cumprir as obrigações constantes desta Ata;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PRIMEIRA - DOTAÇÃO ORÇAMENTÁRIA E PAGAMENTO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11.1 Os recursos necessários para cobertura das despesas desta ata serão por conta da seguinte dotação orçamentária: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2030 | 3390.30.24.00.00.00 - Materiais pata Manutenção de Bens Imóveis/Instalações - RV 1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2031 | 3390.30.24.00.00.00 - Materiais pata Manutenção de Bens Imóveis/Instalações - RV 1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SEGUNDA - DO PAGAMENTO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13.1- O pagamento será efetuado de forma mensal após e emissão da nota fiscal e recebimento dos produtos.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12.3 -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TERCEIRA - DAS DISPOSIÇÕES GERAIS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QUARTA – FORO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14.1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Planalto/RS,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sz w:val="24"/>
          <w:szCs w:val="24"/>
        </w:rPr>
        <w:t xml:space="preserve">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junho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MUNICÍPIO DE PLANALTO - RS                       ALTAIR SARTORI ME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Contratante                                            Contratado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1905" w:h="16838"/>
      <w:pgMar w:top="2721" w:right="1020" w:bottom="1587" w:left="1020" w:header="254" w:footer="255" w:gutter="0"/>
      <w:paperSrc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24D23F54"/>
    <w:rsid w:val="3605269B"/>
    <w:rsid w:val="41C44C3F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2"/>
      <w:szCs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paragraph" w:styleId="9">
    <w:name w:val="heading 8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/>
      <w:b/>
      <w:sz w:val="24"/>
      <w:szCs w:val="24"/>
    </w:rPr>
  </w:style>
  <w:style w:type="paragraph" w:styleId="10">
    <w:name w:val="heading 9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paragraph" w:styleId="14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15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/>
      <w:sz w:val="28"/>
      <w:szCs w:val="24"/>
    </w:rPr>
  </w:style>
  <w:style w:type="paragraph" w:styleId="16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/>
      <w:sz w:val="24"/>
      <w:szCs w:val="24"/>
    </w:rPr>
  </w:style>
  <w:style w:type="paragraph" w:styleId="17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18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/>
      <w:sz w:val="28"/>
      <w:szCs w:val="24"/>
    </w:rPr>
  </w:style>
  <w:style w:type="paragraph" w:styleId="19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20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paragraph" w:styleId="21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  <w:szCs w:val="24"/>
    </w:rPr>
  </w:style>
  <w:style w:type="paragraph" w:customStyle="1" w:styleId="22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2022-06-23T14:08:10Z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C1D39D8C6CCF49F992AF87B255E322AE</vt:lpwstr>
  </property>
</Properties>
</file>