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51C3D" w14:textId="048F2607" w:rsidR="00372F86" w:rsidRPr="00035ABA" w:rsidRDefault="00372F86" w:rsidP="00372F86">
      <w:pPr>
        <w:jc w:val="both"/>
        <w:rPr>
          <w:b/>
          <w:noProof/>
          <w:sz w:val="24"/>
          <w:szCs w:val="24"/>
        </w:rPr>
      </w:pPr>
      <w:bookmarkStart w:id="0" w:name="_Hlk193789549"/>
      <w:r w:rsidRPr="00035ABA">
        <w:rPr>
          <w:b/>
          <w:noProof/>
          <w:sz w:val="24"/>
          <w:szCs w:val="24"/>
        </w:rPr>
        <w:t>PROCESSO ADMINISTRATIVO Nº.</w:t>
      </w:r>
      <w:r w:rsidRPr="00CB32ED">
        <w:rPr>
          <w:b/>
          <w:noProof/>
          <w:color w:val="FF0000"/>
          <w:sz w:val="24"/>
          <w:szCs w:val="24"/>
        </w:rPr>
        <w:t xml:space="preserve"> 0</w:t>
      </w:r>
      <w:r w:rsidR="000F580D">
        <w:rPr>
          <w:b/>
          <w:noProof/>
          <w:color w:val="FF0000"/>
          <w:sz w:val="24"/>
          <w:szCs w:val="24"/>
        </w:rPr>
        <w:t>68</w:t>
      </w:r>
      <w:r w:rsidRPr="00CB32ED">
        <w:rPr>
          <w:b/>
          <w:noProof/>
          <w:color w:val="FF0000"/>
          <w:sz w:val="24"/>
          <w:szCs w:val="24"/>
        </w:rPr>
        <w:t>/202</w:t>
      </w:r>
      <w:r>
        <w:rPr>
          <w:b/>
          <w:noProof/>
          <w:color w:val="FF0000"/>
          <w:sz w:val="24"/>
          <w:szCs w:val="24"/>
        </w:rPr>
        <w:t>5</w:t>
      </w:r>
    </w:p>
    <w:p w14:paraId="39891E03" w14:textId="5EAAB2FC" w:rsidR="00372F86" w:rsidRPr="00035ABA" w:rsidRDefault="00372F86" w:rsidP="00372F86">
      <w:pPr>
        <w:jc w:val="both"/>
        <w:rPr>
          <w:b/>
          <w:noProof/>
          <w:sz w:val="24"/>
          <w:szCs w:val="24"/>
        </w:rPr>
      </w:pPr>
      <w:r w:rsidRPr="00035ABA">
        <w:rPr>
          <w:b/>
          <w:noProof/>
          <w:sz w:val="24"/>
          <w:szCs w:val="24"/>
        </w:rPr>
        <w:t>DISPENSA DE LICITAÇÃO</w:t>
      </w:r>
      <w:r w:rsidRPr="00035ABA">
        <w:rPr>
          <w:b/>
          <w:sz w:val="24"/>
          <w:szCs w:val="24"/>
        </w:rPr>
        <w:t xml:space="preserve"> Nº. </w:t>
      </w:r>
      <w:r>
        <w:rPr>
          <w:b/>
          <w:noProof/>
          <w:color w:val="FF0000"/>
          <w:sz w:val="24"/>
          <w:szCs w:val="24"/>
        </w:rPr>
        <w:t>0</w:t>
      </w:r>
      <w:r w:rsidR="000F580D">
        <w:rPr>
          <w:b/>
          <w:noProof/>
          <w:color w:val="FF0000"/>
          <w:sz w:val="24"/>
          <w:szCs w:val="24"/>
        </w:rPr>
        <w:t>42</w:t>
      </w:r>
      <w:r w:rsidRPr="00CB32ED">
        <w:rPr>
          <w:b/>
          <w:noProof/>
          <w:color w:val="FF0000"/>
          <w:sz w:val="24"/>
          <w:szCs w:val="24"/>
        </w:rPr>
        <w:t>/202</w:t>
      </w:r>
      <w:r>
        <w:rPr>
          <w:b/>
          <w:noProof/>
          <w:color w:val="FF0000"/>
          <w:sz w:val="24"/>
          <w:szCs w:val="24"/>
        </w:rPr>
        <w:t>5</w:t>
      </w:r>
    </w:p>
    <w:p w14:paraId="5C51285D" w14:textId="77777777" w:rsidR="00372F86" w:rsidRPr="00035ABA" w:rsidRDefault="00372F86" w:rsidP="00372F86">
      <w:pPr>
        <w:jc w:val="both"/>
        <w:rPr>
          <w:sz w:val="24"/>
          <w:szCs w:val="24"/>
        </w:rPr>
      </w:pPr>
    </w:p>
    <w:p w14:paraId="3086585E" w14:textId="5FE95BBB" w:rsidR="00372F86" w:rsidRPr="00372F86" w:rsidRDefault="00372F86" w:rsidP="00372F86">
      <w:pPr>
        <w:tabs>
          <w:tab w:val="left" w:pos="2835"/>
        </w:tabs>
        <w:jc w:val="both"/>
        <w:rPr>
          <w:b/>
        </w:rPr>
      </w:pPr>
      <w:r w:rsidRPr="00372F86">
        <w:rPr>
          <w:b/>
          <w:sz w:val="24"/>
          <w:szCs w:val="24"/>
        </w:rPr>
        <w:t>OBJETO: Aquisição parcelada de Equipamentos de informática para atender a demanda das diversas Secretarias Municipais de Ronda Alta RS.</w:t>
      </w:r>
    </w:p>
    <w:p w14:paraId="2CF8ED29" w14:textId="77777777" w:rsidR="00372F86" w:rsidRPr="00A75772" w:rsidRDefault="00372F86" w:rsidP="00372F86">
      <w:pPr>
        <w:jc w:val="both"/>
        <w:rPr>
          <w:b/>
          <w:noProof/>
          <w:color w:val="FF0000"/>
          <w:sz w:val="24"/>
          <w:szCs w:val="24"/>
        </w:rPr>
      </w:pPr>
    </w:p>
    <w:p w14:paraId="64AEFDA8" w14:textId="017B9AE5" w:rsidR="00372F86" w:rsidRPr="00075CB2" w:rsidRDefault="00372F86" w:rsidP="00372F86">
      <w:pPr>
        <w:jc w:val="both"/>
        <w:rPr>
          <w:b/>
          <w:sz w:val="24"/>
          <w:szCs w:val="24"/>
          <w:shd w:val="clear" w:color="auto" w:fill="FFFFFF"/>
        </w:rPr>
      </w:pPr>
      <w:r w:rsidRPr="00075CB2">
        <w:rPr>
          <w:b/>
          <w:noProof/>
          <w:sz w:val="24"/>
          <w:szCs w:val="24"/>
          <w:u w:val="single"/>
        </w:rPr>
        <w:t>CONTRATADA</w:t>
      </w:r>
      <w:r w:rsidRPr="00075CB2">
        <w:rPr>
          <w:b/>
          <w:noProof/>
          <w:sz w:val="24"/>
          <w:szCs w:val="24"/>
        </w:rPr>
        <w:t xml:space="preserve">: </w:t>
      </w:r>
      <w:r>
        <w:rPr>
          <w:b/>
          <w:sz w:val="24"/>
          <w:szCs w:val="24"/>
        </w:rPr>
        <w:t>SAUTHIER &amp;ALIEVI LTDA</w:t>
      </w:r>
      <w:r w:rsidRPr="00075CB2">
        <w:rPr>
          <w:b/>
          <w:sz w:val="24"/>
          <w:szCs w:val="24"/>
        </w:rPr>
        <w:t>.</w:t>
      </w:r>
    </w:p>
    <w:p w14:paraId="284605FA" w14:textId="279257FE" w:rsidR="00372F86" w:rsidRPr="00075CB2" w:rsidRDefault="00372F86" w:rsidP="00372F86">
      <w:pPr>
        <w:jc w:val="both"/>
        <w:rPr>
          <w:b/>
          <w:sz w:val="24"/>
          <w:szCs w:val="24"/>
          <w:shd w:val="clear" w:color="auto" w:fill="FFFFFF"/>
        </w:rPr>
      </w:pPr>
      <w:r w:rsidRPr="00075CB2">
        <w:rPr>
          <w:b/>
          <w:noProof/>
          <w:sz w:val="24"/>
          <w:szCs w:val="24"/>
          <w:u w:val="single"/>
        </w:rPr>
        <w:t>CNPJ Nº</w:t>
      </w:r>
      <w:r w:rsidRPr="00075CB2">
        <w:rPr>
          <w:b/>
          <w:noProof/>
          <w:sz w:val="24"/>
          <w:szCs w:val="24"/>
        </w:rPr>
        <w:t xml:space="preserve">: </w:t>
      </w:r>
      <w:r>
        <w:rPr>
          <w:b/>
          <w:sz w:val="24"/>
          <w:szCs w:val="24"/>
        </w:rPr>
        <w:t>06.897.500/0001-54</w:t>
      </w:r>
    </w:p>
    <w:p w14:paraId="21600989" w14:textId="1DAB2C14" w:rsidR="00372F86" w:rsidRPr="00075CB2" w:rsidRDefault="00372F86" w:rsidP="00372F86">
      <w:pPr>
        <w:jc w:val="both"/>
        <w:rPr>
          <w:b/>
          <w:sz w:val="24"/>
          <w:szCs w:val="24"/>
        </w:rPr>
      </w:pPr>
      <w:r w:rsidRPr="00075CB2">
        <w:rPr>
          <w:b/>
          <w:sz w:val="24"/>
          <w:szCs w:val="24"/>
          <w:u w:val="single"/>
          <w:shd w:val="clear" w:color="auto" w:fill="FFFFFF"/>
        </w:rPr>
        <w:t>ENDEREÇO:</w:t>
      </w:r>
      <w:r w:rsidRPr="00075CB2">
        <w:rPr>
          <w:b/>
          <w:sz w:val="24"/>
          <w:szCs w:val="24"/>
          <w:shd w:val="clear" w:color="auto" w:fill="FFFFFF"/>
        </w:rPr>
        <w:t xml:space="preserve"> RUA </w:t>
      </w:r>
      <w:r>
        <w:rPr>
          <w:b/>
          <w:sz w:val="24"/>
          <w:szCs w:val="24"/>
          <w:shd w:val="clear" w:color="auto" w:fill="FFFFFF"/>
        </w:rPr>
        <w:t>XV DE NOVEMBRO 683 CENTRO RONDA ALTA CEP 99670-000</w:t>
      </w:r>
    </w:p>
    <w:p w14:paraId="7C5A8BB5" w14:textId="1900157D" w:rsidR="00372F86" w:rsidRPr="00075CB2" w:rsidRDefault="00372F86" w:rsidP="00372F86">
      <w:pPr>
        <w:jc w:val="both"/>
        <w:rPr>
          <w:b/>
          <w:sz w:val="24"/>
          <w:szCs w:val="24"/>
        </w:rPr>
      </w:pPr>
      <w:r w:rsidRPr="00075CB2">
        <w:rPr>
          <w:b/>
          <w:sz w:val="24"/>
          <w:szCs w:val="24"/>
          <w:u w:val="single"/>
        </w:rPr>
        <w:t>VALOR:</w:t>
      </w:r>
      <w:r w:rsidRPr="00075CB2">
        <w:rPr>
          <w:b/>
          <w:sz w:val="24"/>
          <w:szCs w:val="24"/>
        </w:rPr>
        <w:t xml:space="preserve"> R$5</w:t>
      </w:r>
      <w:r>
        <w:rPr>
          <w:b/>
          <w:sz w:val="24"/>
          <w:szCs w:val="24"/>
        </w:rPr>
        <w:t>5</w:t>
      </w:r>
      <w:r w:rsidRPr="00075CB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840</w:t>
      </w:r>
      <w:r w:rsidRPr="00075CB2">
        <w:rPr>
          <w:b/>
          <w:sz w:val="24"/>
          <w:szCs w:val="24"/>
        </w:rPr>
        <w:t>,00 (</w:t>
      </w:r>
      <w:r>
        <w:rPr>
          <w:b/>
          <w:sz w:val="24"/>
          <w:szCs w:val="24"/>
        </w:rPr>
        <w:t>Cinquenta e cinco mil oitocentos e quarenta reais</w:t>
      </w:r>
      <w:r w:rsidRPr="00075CB2">
        <w:rPr>
          <w:b/>
          <w:sz w:val="24"/>
          <w:szCs w:val="24"/>
        </w:rPr>
        <w:t>).</w:t>
      </w:r>
    </w:p>
    <w:p w14:paraId="38AE8EC6" w14:textId="77777777" w:rsidR="00372F86" w:rsidRPr="00035ABA" w:rsidRDefault="00372F86" w:rsidP="00372F86">
      <w:pPr>
        <w:jc w:val="both"/>
        <w:rPr>
          <w:sz w:val="24"/>
          <w:szCs w:val="24"/>
        </w:rPr>
      </w:pPr>
    </w:p>
    <w:p w14:paraId="1BA80AB0" w14:textId="77777777" w:rsidR="00372F86" w:rsidRPr="00035ABA" w:rsidRDefault="00372F86" w:rsidP="00372F86">
      <w:pPr>
        <w:jc w:val="both"/>
        <w:rPr>
          <w:b/>
          <w:sz w:val="24"/>
          <w:szCs w:val="24"/>
        </w:rPr>
      </w:pPr>
      <w:r w:rsidRPr="00035ABA">
        <w:rPr>
          <w:b/>
          <w:sz w:val="24"/>
          <w:szCs w:val="24"/>
        </w:rPr>
        <w:t>LOCAÇÃO – SERVIÇO OU FORNECIMENTO – RESUMO:</w:t>
      </w:r>
    </w:p>
    <w:p w14:paraId="7238DB62" w14:textId="158D4A56" w:rsidR="004169C1" w:rsidRDefault="00372F86" w:rsidP="004169C1">
      <w:pPr>
        <w:rPr>
          <w:rFonts w:eastAsia="SimSun"/>
          <w:b/>
          <w:bCs/>
          <w:sz w:val="24"/>
          <w:szCs w:val="24"/>
          <w:lang w:eastAsia="zh-CN"/>
        </w:rPr>
      </w:pPr>
      <w:r w:rsidRPr="00075CB2">
        <w:rPr>
          <w:sz w:val="24"/>
          <w:szCs w:val="24"/>
        </w:rPr>
        <w:t>O presente instrumento de DISPENSA DE LICITAÇÃO tem por objetivo</w:t>
      </w:r>
      <w:r w:rsidR="004169C1" w:rsidRPr="004169C1">
        <w:rPr>
          <w:rFonts w:eastAsia="SimSun"/>
          <w:b/>
          <w:bCs/>
          <w:sz w:val="24"/>
          <w:szCs w:val="24"/>
          <w:lang w:eastAsia="zh-CN"/>
        </w:rPr>
        <w:t xml:space="preserve"> </w:t>
      </w:r>
      <w:r w:rsidR="004169C1" w:rsidRPr="002F43BB">
        <w:rPr>
          <w:rFonts w:eastAsia="SimSun"/>
          <w:b/>
          <w:bCs/>
          <w:sz w:val="24"/>
          <w:szCs w:val="24"/>
          <w:lang w:eastAsia="zh-CN"/>
        </w:rPr>
        <w:t>a Aquisição parcelada de Equipamentos de Informática para atender a demanda das diversas Secretarias Municipais de Ronda Alta/RS</w:t>
      </w:r>
      <w:r w:rsidR="004169C1">
        <w:rPr>
          <w:rFonts w:eastAsia="SimSun"/>
          <w:b/>
          <w:bCs/>
          <w:sz w:val="24"/>
          <w:szCs w:val="24"/>
          <w:lang w:eastAsia="zh-CN"/>
        </w:rPr>
        <w:t>.</w:t>
      </w:r>
    </w:p>
    <w:p w14:paraId="79F30348" w14:textId="77777777" w:rsidR="004169C1" w:rsidRDefault="004169C1" w:rsidP="004169C1">
      <w:pPr>
        <w:rPr>
          <w:rFonts w:eastAsia="SimSun"/>
          <w:b/>
          <w:bCs/>
          <w:sz w:val="24"/>
          <w:szCs w:val="24"/>
          <w:lang w:eastAsia="zh-CN"/>
        </w:rPr>
      </w:pPr>
    </w:p>
    <w:p w14:paraId="439F6D66" w14:textId="2D7223E2" w:rsidR="00372F86" w:rsidRPr="00075CB2" w:rsidRDefault="00372F86" w:rsidP="00372F86">
      <w:pPr>
        <w:jc w:val="both"/>
        <w:rPr>
          <w:sz w:val="24"/>
          <w:szCs w:val="24"/>
        </w:rPr>
      </w:pPr>
      <w:r w:rsidRPr="00075CB2">
        <w:rPr>
          <w:sz w:val="24"/>
          <w:szCs w:val="24"/>
        </w:rPr>
        <w:t>A empresa</w:t>
      </w:r>
      <w:r w:rsidR="004169C1" w:rsidRPr="004169C1">
        <w:rPr>
          <w:b/>
          <w:sz w:val="24"/>
          <w:szCs w:val="24"/>
        </w:rPr>
        <w:t xml:space="preserve"> </w:t>
      </w:r>
      <w:r w:rsidR="004169C1">
        <w:rPr>
          <w:b/>
          <w:sz w:val="24"/>
          <w:szCs w:val="24"/>
        </w:rPr>
        <w:t>SAUTHIER &amp;ALIEVI LTDA,</w:t>
      </w:r>
      <w:r w:rsidRPr="00075CB2">
        <w:rPr>
          <w:sz w:val="24"/>
          <w:szCs w:val="24"/>
        </w:rPr>
        <w:t xml:space="preserve"> deverá oferecer os seguintes produtos: </w:t>
      </w:r>
    </w:p>
    <w:p w14:paraId="4A909462" w14:textId="77777777" w:rsidR="004169C1" w:rsidRDefault="004169C1" w:rsidP="004169C1">
      <w:pPr>
        <w:rPr>
          <w:rFonts w:eastAsia="SimSun"/>
          <w:b/>
          <w:bCs/>
          <w:sz w:val="24"/>
          <w:szCs w:val="24"/>
          <w:lang w:eastAsia="zh-CN"/>
        </w:rPr>
      </w:pPr>
    </w:p>
    <w:tbl>
      <w:tblPr>
        <w:tblW w:w="5000" w:type="pct"/>
        <w:jc w:val="center"/>
        <w:tblBorders>
          <w:top w:val="single" w:sz="6" w:space="0" w:color="00000A"/>
          <w:left w:val="single" w:sz="6" w:space="0" w:color="00000A"/>
          <w:bottom w:val="single" w:sz="4" w:space="0" w:color="00000A"/>
          <w:right w:val="single" w:sz="6" w:space="0" w:color="00000A"/>
          <w:insideH w:val="single" w:sz="4" w:space="0" w:color="00000A"/>
          <w:insideV w:val="single" w:sz="6" w:space="0" w:color="00000A"/>
        </w:tblBorders>
        <w:tblCellMar>
          <w:left w:w="52" w:type="dxa"/>
        </w:tblCellMar>
        <w:tblLook w:val="04A0" w:firstRow="1" w:lastRow="0" w:firstColumn="1" w:lastColumn="0" w:noHBand="0" w:noVBand="1"/>
      </w:tblPr>
      <w:tblGrid>
        <w:gridCol w:w="640"/>
        <w:gridCol w:w="881"/>
        <w:gridCol w:w="7534"/>
      </w:tblGrid>
      <w:tr w:rsidR="004169C1" w:rsidRPr="002F43BB" w14:paraId="551D4CB8" w14:textId="77777777" w:rsidTr="0016330A">
        <w:trPr>
          <w:trHeight w:val="5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000000"/>
            <w:tcMar>
              <w:left w:w="52" w:type="dxa"/>
            </w:tcMar>
          </w:tcPr>
          <w:p w14:paraId="27995828" w14:textId="77777777" w:rsidR="004169C1" w:rsidRPr="002F43BB" w:rsidRDefault="004169C1" w:rsidP="0016330A">
            <w:pPr>
              <w:spacing w:before="12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2F43BB">
              <w:rPr>
                <w:rFonts w:eastAsia="MS Mincho"/>
                <w:b/>
                <w:sz w:val="24"/>
                <w:szCs w:val="24"/>
                <w:lang w:eastAsia="en-US"/>
              </w:rPr>
              <w:t>Item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000000"/>
            <w:tcMar>
              <w:left w:w="59" w:type="dxa"/>
            </w:tcMar>
          </w:tcPr>
          <w:p w14:paraId="40D7C73B" w14:textId="77777777" w:rsidR="004169C1" w:rsidRDefault="004169C1" w:rsidP="0016330A">
            <w:pPr>
              <w:spacing w:before="120"/>
              <w:jc w:val="center"/>
              <w:rPr>
                <w:rFonts w:eastAsia="MS Mincho"/>
                <w:b/>
                <w:sz w:val="24"/>
                <w:szCs w:val="24"/>
                <w:lang w:eastAsia="en-US"/>
              </w:rPr>
            </w:pPr>
            <w:bookmarkStart w:id="1" w:name="__UnoMark__119_2046965708"/>
            <w:bookmarkStart w:id="2" w:name="__UnoMark__120_2046965708"/>
            <w:bookmarkEnd w:id="1"/>
            <w:bookmarkEnd w:id="2"/>
            <w:r w:rsidRPr="002F43BB">
              <w:rPr>
                <w:rFonts w:eastAsia="MS Mincho"/>
                <w:b/>
                <w:sz w:val="24"/>
                <w:szCs w:val="24"/>
                <w:lang w:eastAsia="en-US"/>
              </w:rPr>
              <w:t>Quant</w:t>
            </w:r>
            <w:r>
              <w:rPr>
                <w:rFonts w:eastAsia="MS Mincho"/>
                <w:b/>
                <w:sz w:val="24"/>
                <w:szCs w:val="24"/>
                <w:lang w:eastAsia="en-US"/>
              </w:rPr>
              <w:t>.</w:t>
            </w:r>
          </w:p>
          <w:p w14:paraId="3102EDF6" w14:textId="77777777" w:rsidR="004169C1" w:rsidRPr="002F43BB" w:rsidRDefault="004169C1" w:rsidP="0016330A">
            <w:pPr>
              <w:spacing w:before="120"/>
              <w:jc w:val="center"/>
              <w:rPr>
                <w:rFonts w:eastAsia="MS Mincho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MS Mincho"/>
                <w:b/>
                <w:sz w:val="24"/>
                <w:szCs w:val="24"/>
                <w:lang w:eastAsia="en-US"/>
              </w:rPr>
              <w:t>Und</w:t>
            </w:r>
            <w:proofErr w:type="spellEnd"/>
            <w:r>
              <w:rPr>
                <w:rFonts w:eastAsia="MS Mincho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000000"/>
          </w:tcPr>
          <w:p w14:paraId="586FD3CD" w14:textId="77777777" w:rsidR="004169C1" w:rsidRPr="002F43BB" w:rsidRDefault="004169C1" w:rsidP="0016330A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bookmarkStart w:id="3" w:name="__UnoMark__121_2046965708"/>
            <w:bookmarkStart w:id="4" w:name="__UnoMark__122_2046965708"/>
            <w:bookmarkEnd w:id="3"/>
            <w:bookmarkEnd w:id="4"/>
            <w:r w:rsidRPr="002F43BB">
              <w:rPr>
                <w:rFonts w:eastAsia="MS Mincho"/>
                <w:b/>
                <w:sz w:val="24"/>
                <w:szCs w:val="24"/>
                <w:lang w:eastAsia="en-US"/>
              </w:rPr>
              <w:t>DESCRIÇÃO DO OBJETO</w:t>
            </w:r>
            <w:bookmarkStart w:id="5" w:name="__UnoMark__125_2046965708"/>
            <w:bookmarkStart w:id="6" w:name="__UnoMark__126_2046965708"/>
            <w:bookmarkStart w:id="7" w:name="__UnoMark__127_2046965708"/>
            <w:bookmarkStart w:id="8" w:name="__UnoMark__128_2046965708"/>
            <w:bookmarkEnd w:id="5"/>
            <w:bookmarkEnd w:id="6"/>
            <w:bookmarkEnd w:id="7"/>
            <w:bookmarkEnd w:id="8"/>
          </w:p>
        </w:tc>
      </w:tr>
      <w:tr w:rsidR="004169C1" w:rsidRPr="002F43BB" w14:paraId="235674D6" w14:textId="77777777" w:rsidTr="0016330A">
        <w:trPr>
          <w:trHeight w:val="5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2" w:type="dxa"/>
            </w:tcMar>
            <w:vAlign w:val="center"/>
          </w:tcPr>
          <w:p w14:paraId="6015023D" w14:textId="77777777" w:rsidR="004169C1" w:rsidRPr="002F43BB" w:rsidRDefault="004169C1" w:rsidP="0016330A">
            <w:pPr>
              <w:spacing w:before="120"/>
              <w:jc w:val="center"/>
              <w:rPr>
                <w:b/>
                <w:sz w:val="24"/>
                <w:szCs w:val="24"/>
                <w:lang w:eastAsia="zh-CN"/>
              </w:rPr>
            </w:pPr>
            <w:r w:rsidRPr="002F43BB">
              <w:rPr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9" w:type="dxa"/>
            </w:tcMar>
            <w:vAlign w:val="center"/>
          </w:tcPr>
          <w:p w14:paraId="2103BE5F" w14:textId="77777777" w:rsidR="004169C1" w:rsidRPr="002F43BB" w:rsidRDefault="004169C1" w:rsidP="0016330A">
            <w:pPr>
              <w:suppressAutoHyphens/>
              <w:spacing w:line="100" w:lineRule="atLeast"/>
              <w:jc w:val="center"/>
              <w:rPr>
                <w:rFonts w:eastAsia="DejaVu Sans"/>
                <w:b/>
                <w:sz w:val="24"/>
                <w:szCs w:val="24"/>
                <w:lang w:eastAsia="en-US"/>
              </w:rPr>
            </w:pPr>
            <w:r w:rsidRPr="002F43BB">
              <w:rPr>
                <w:rFonts w:eastAsia="DejaVu Sans"/>
                <w:b/>
                <w:sz w:val="24"/>
                <w:szCs w:val="24"/>
                <w:lang w:eastAsia="en-US"/>
              </w:rPr>
              <w:t>10</w:t>
            </w:r>
          </w:p>
          <w:p w14:paraId="27AAFEAE" w14:textId="77777777" w:rsidR="004169C1" w:rsidRPr="002F43BB" w:rsidRDefault="004169C1" w:rsidP="0016330A">
            <w:pPr>
              <w:suppressAutoHyphens/>
              <w:spacing w:line="100" w:lineRule="atLeast"/>
              <w:jc w:val="center"/>
              <w:rPr>
                <w:rFonts w:eastAsia="DejaVu Sans"/>
                <w:b/>
                <w:sz w:val="24"/>
                <w:szCs w:val="24"/>
                <w:lang w:eastAsia="en-US"/>
              </w:rPr>
            </w:pPr>
            <w:r w:rsidRPr="002F43BB">
              <w:rPr>
                <w:rFonts w:eastAsia="DejaVu Sans"/>
                <w:b/>
                <w:sz w:val="24"/>
                <w:szCs w:val="24"/>
                <w:lang w:eastAsia="en-US"/>
              </w:rPr>
              <w:t>UND.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2D94" w14:textId="77777777" w:rsidR="004169C1" w:rsidRPr="002F43BB" w:rsidRDefault="004169C1" w:rsidP="004169C1">
            <w:pPr>
              <w:jc w:val="both"/>
              <w:rPr>
                <w:b/>
                <w:sz w:val="24"/>
                <w:szCs w:val="24"/>
                <w:lang w:eastAsia="zh-CN"/>
              </w:rPr>
            </w:pPr>
            <w:bookmarkStart w:id="9" w:name="__UnoMark__139_2046965708"/>
            <w:bookmarkStart w:id="10" w:name="__UnoMark__138_2046965708"/>
            <w:bookmarkStart w:id="11" w:name="__UnoMark__141_2046965708"/>
            <w:bookmarkStart w:id="12" w:name="__UnoMark__140_2046965708"/>
            <w:bookmarkEnd w:id="9"/>
            <w:bookmarkEnd w:id="10"/>
            <w:bookmarkEnd w:id="11"/>
            <w:bookmarkEnd w:id="12"/>
            <w:r w:rsidRPr="002F43BB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Desktop básico corporativo com as seguintes Características mínimas</w:t>
            </w:r>
            <w:r w:rsidRPr="002F43BB">
              <w:rPr>
                <w:rFonts w:eastAsia="SimSun"/>
                <w:sz w:val="24"/>
                <w:szCs w:val="24"/>
                <w:lang w:eastAsia="zh-CN"/>
              </w:rPr>
              <w:t xml:space="preserve">: novo (sem uso, reformados ou recondicionados), devem pertencer à linha corporativa; deverá ser Da geração mais recente ofertado pelo fabricante, não sendo aceito equipamentos descontinuados. Placa mãe: deverá possuir 2 X slots </w:t>
            </w:r>
            <w:proofErr w:type="spellStart"/>
            <w:r w:rsidRPr="002F43BB">
              <w:rPr>
                <w:rFonts w:eastAsia="SimSun"/>
                <w:sz w:val="24"/>
                <w:szCs w:val="24"/>
                <w:lang w:eastAsia="zh-CN"/>
              </w:rPr>
              <w:t>dimm</w:t>
            </w:r>
            <w:proofErr w:type="spellEnd"/>
            <w:r w:rsidRPr="002F43BB">
              <w:rPr>
                <w:rFonts w:eastAsia="SimSun"/>
                <w:sz w:val="24"/>
                <w:szCs w:val="24"/>
                <w:lang w:eastAsia="zh-CN"/>
              </w:rPr>
              <w:t xml:space="preserve">, ddr4 3.200 mhz ou superior; deverá possuir 2 (duas) Saídas para monitor, sendo, no mínimo, 01 (uma) no padrão Analógico </w:t>
            </w:r>
            <w:proofErr w:type="spellStart"/>
            <w:r w:rsidRPr="002F43BB">
              <w:rPr>
                <w:rFonts w:eastAsia="SimSun"/>
                <w:sz w:val="24"/>
                <w:szCs w:val="24"/>
                <w:lang w:eastAsia="zh-CN"/>
              </w:rPr>
              <w:t>vga</w:t>
            </w:r>
            <w:proofErr w:type="spellEnd"/>
            <w:r w:rsidRPr="002F43BB">
              <w:rPr>
                <w:rFonts w:eastAsia="SimSun"/>
                <w:sz w:val="24"/>
                <w:szCs w:val="24"/>
                <w:lang w:eastAsia="zh-CN"/>
              </w:rPr>
              <w:t xml:space="preserve"> e 01 (uma) digital podendo ser no padrão </w:t>
            </w:r>
            <w:proofErr w:type="spellStart"/>
            <w:r w:rsidRPr="002F43BB">
              <w:rPr>
                <w:rFonts w:eastAsia="SimSun"/>
                <w:sz w:val="24"/>
                <w:szCs w:val="24"/>
                <w:lang w:eastAsia="zh-CN"/>
              </w:rPr>
              <w:t>hdmi</w:t>
            </w:r>
            <w:proofErr w:type="spellEnd"/>
            <w:r w:rsidRPr="002F43BB">
              <w:rPr>
                <w:rFonts w:eastAsia="SimSun"/>
                <w:sz w:val="24"/>
                <w:szCs w:val="24"/>
                <w:lang w:eastAsia="zh-CN"/>
              </w:rPr>
              <w:t xml:space="preserve"> ou </w:t>
            </w:r>
            <w:proofErr w:type="spellStart"/>
            <w:r w:rsidRPr="002F43BB">
              <w:rPr>
                <w:rFonts w:eastAsia="SimSun"/>
                <w:sz w:val="24"/>
                <w:szCs w:val="24"/>
                <w:lang w:eastAsia="zh-CN"/>
              </w:rPr>
              <w:t>Displayport</w:t>
            </w:r>
            <w:proofErr w:type="spellEnd"/>
            <w:r w:rsidRPr="002F43BB">
              <w:rPr>
                <w:rFonts w:eastAsia="SimSun"/>
                <w:sz w:val="24"/>
                <w:szCs w:val="24"/>
                <w:lang w:eastAsia="zh-CN"/>
              </w:rPr>
              <w:t xml:space="preserve"> com suporte a até dois monitores independentes; Deverá possuir controlador integrado serial </w:t>
            </w:r>
            <w:proofErr w:type="spellStart"/>
            <w:r w:rsidRPr="002F43BB">
              <w:rPr>
                <w:rFonts w:eastAsia="SimSun"/>
                <w:sz w:val="24"/>
                <w:szCs w:val="24"/>
                <w:lang w:eastAsia="zh-CN"/>
              </w:rPr>
              <w:t>sata</w:t>
            </w:r>
            <w:proofErr w:type="spellEnd"/>
            <w:r w:rsidRPr="002F43BB">
              <w:rPr>
                <w:rFonts w:eastAsia="SimSun"/>
                <w:sz w:val="24"/>
                <w:szCs w:val="24"/>
                <w:lang w:eastAsia="zh-CN"/>
              </w:rPr>
              <w:t xml:space="preserve"> 6.0gb/s; deverá Possuir slots de expansão 1 x </w:t>
            </w:r>
            <w:proofErr w:type="spellStart"/>
            <w:r w:rsidRPr="002F43BB">
              <w:rPr>
                <w:rFonts w:eastAsia="SimSun"/>
                <w:sz w:val="24"/>
                <w:szCs w:val="24"/>
                <w:lang w:eastAsia="zh-CN"/>
              </w:rPr>
              <w:t>pci</w:t>
            </w:r>
            <w:proofErr w:type="spellEnd"/>
            <w:r w:rsidRPr="002F43BB">
              <w:rPr>
                <w:rFonts w:eastAsia="SimSu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F43BB">
              <w:rPr>
                <w:rFonts w:eastAsia="SimSun"/>
                <w:sz w:val="24"/>
                <w:szCs w:val="24"/>
                <w:lang w:eastAsia="zh-CN"/>
              </w:rPr>
              <w:t>express</w:t>
            </w:r>
            <w:proofErr w:type="spellEnd"/>
            <w:r w:rsidRPr="002F43BB">
              <w:rPr>
                <w:rFonts w:eastAsia="SimSun"/>
                <w:sz w:val="24"/>
                <w:szCs w:val="24"/>
                <w:lang w:eastAsia="zh-CN"/>
              </w:rPr>
              <w:t xml:space="preserve"> 3.0 x16 e 1x </w:t>
            </w:r>
            <w:proofErr w:type="spellStart"/>
            <w:r w:rsidRPr="002F43BB">
              <w:rPr>
                <w:rFonts w:eastAsia="SimSun"/>
                <w:sz w:val="24"/>
                <w:szCs w:val="24"/>
                <w:lang w:eastAsia="zh-CN"/>
              </w:rPr>
              <w:t>pci</w:t>
            </w:r>
            <w:proofErr w:type="spellEnd"/>
            <w:r w:rsidRPr="002F43BB">
              <w:rPr>
                <w:rFonts w:eastAsia="SimSu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F43BB">
              <w:rPr>
                <w:rFonts w:eastAsia="SimSun"/>
                <w:sz w:val="24"/>
                <w:szCs w:val="24"/>
                <w:lang w:eastAsia="zh-CN"/>
              </w:rPr>
              <w:t>express</w:t>
            </w:r>
            <w:proofErr w:type="spellEnd"/>
            <w:r w:rsidRPr="002F43BB">
              <w:rPr>
                <w:rFonts w:eastAsia="SimSun"/>
                <w:sz w:val="24"/>
                <w:szCs w:val="24"/>
                <w:lang w:eastAsia="zh-CN"/>
              </w:rPr>
              <w:t xml:space="preserve"> x1 E 1x slot m.2; deverá possuir 1 controlador de rede ethernet Gigabit; deverá possuir chip de segurança </w:t>
            </w:r>
            <w:proofErr w:type="spellStart"/>
            <w:r w:rsidRPr="002F43BB">
              <w:rPr>
                <w:rFonts w:eastAsia="SimSun"/>
                <w:sz w:val="24"/>
                <w:szCs w:val="24"/>
                <w:lang w:eastAsia="zh-CN"/>
              </w:rPr>
              <w:t>tpm</w:t>
            </w:r>
            <w:proofErr w:type="spellEnd"/>
            <w:r w:rsidRPr="002F43BB">
              <w:rPr>
                <w:rFonts w:eastAsia="SimSun"/>
                <w:sz w:val="24"/>
                <w:szCs w:val="24"/>
                <w:lang w:eastAsia="zh-CN"/>
              </w:rPr>
              <w:t xml:space="preserve"> versão 2.0 integrado Para criptografia; deverá possuir 6 (seis) portas usb sendo, 4 (quatro) portas, na versão usb 3.0. Processador: processadores de arquitetura </w:t>
            </w:r>
            <w:proofErr w:type="spellStart"/>
            <w:r w:rsidRPr="002F43BB">
              <w:rPr>
                <w:rFonts w:eastAsia="SimSun"/>
                <w:sz w:val="24"/>
                <w:szCs w:val="24"/>
                <w:lang w:eastAsia="zh-CN"/>
              </w:rPr>
              <w:t>intel</w:t>
            </w:r>
            <w:proofErr w:type="spellEnd"/>
            <w:r w:rsidRPr="002F43BB">
              <w:rPr>
                <w:rFonts w:eastAsia="SimSun"/>
                <w:sz w:val="24"/>
                <w:szCs w:val="24"/>
                <w:lang w:eastAsia="zh-CN"/>
              </w:rPr>
              <w:t xml:space="preserve"> ou </w:t>
            </w:r>
            <w:proofErr w:type="spellStart"/>
            <w:r w:rsidRPr="002F43BB">
              <w:rPr>
                <w:rFonts w:eastAsia="SimSun"/>
                <w:sz w:val="24"/>
                <w:szCs w:val="24"/>
                <w:lang w:eastAsia="zh-CN"/>
              </w:rPr>
              <w:t>amd</w:t>
            </w:r>
            <w:proofErr w:type="spellEnd"/>
            <w:r w:rsidRPr="002F43BB">
              <w:rPr>
                <w:rFonts w:eastAsia="SimSun"/>
                <w:sz w:val="24"/>
                <w:szCs w:val="24"/>
                <w:lang w:eastAsia="zh-CN"/>
              </w:rPr>
              <w:t xml:space="preserve"> com equivalência física igual ou Superior; possuir 04 (quatro) núcleos e 08 (oito) threads com </w:t>
            </w:r>
            <w:proofErr w:type="spellStart"/>
            <w:r w:rsidRPr="002F43BB">
              <w:rPr>
                <w:rFonts w:eastAsia="SimSun"/>
                <w:sz w:val="24"/>
                <w:szCs w:val="24"/>
                <w:lang w:eastAsia="zh-CN"/>
              </w:rPr>
              <w:t>clock</w:t>
            </w:r>
            <w:proofErr w:type="spellEnd"/>
            <w:r w:rsidRPr="002F43BB">
              <w:rPr>
                <w:rFonts w:eastAsia="SimSun"/>
                <w:sz w:val="24"/>
                <w:szCs w:val="24"/>
                <w:lang w:eastAsia="zh-CN"/>
              </w:rPr>
              <w:t xml:space="preserve"> Base de 3.40ghz e turbo </w:t>
            </w:r>
            <w:proofErr w:type="spellStart"/>
            <w:r w:rsidRPr="002F43BB">
              <w:rPr>
                <w:rFonts w:eastAsia="SimSun"/>
                <w:sz w:val="24"/>
                <w:szCs w:val="24"/>
                <w:lang w:eastAsia="zh-CN"/>
              </w:rPr>
              <w:t>boost</w:t>
            </w:r>
            <w:proofErr w:type="spellEnd"/>
            <w:r w:rsidRPr="002F43BB">
              <w:rPr>
                <w:rFonts w:eastAsia="SimSun"/>
                <w:sz w:val="24"/>
                <w:szCs w:val="24"/>
                <w:lang w:eastAsia="zh-CN"/>
              </w:rPr>
              <w:t xml:space="preserve"> até 4.50ghz com 12mb de cache ou superior. Memória </w:t>
            </w:r>
            <w:proofErr w:type="spellStart"/>
            <w:r w:rsidRPr="002F43BB">
              <w:rPr>
                <w:rFonts w:eastAsia="SimSun"/>
                <w:sz w:val="24"/>
                <w:szCs w:val="24"/>
                <w:lang w:eastAsia="zh-CN"/>
              </w:rPr>
              <w:t>ram</w:t>
            </w:r>
            <w:proofErr w:type="spellEnd"/>
            <w:r w:rsidRPr="002F43BB">
              <w:rPr>
                <w:rFonts w:eastAsia="SimSun"/>
                <w:sz w:val="24"/>
                <w:szCs w:val="24"/>
                <w:lang w:eastAsia="zh-CN"/>
              </w:rPr>
              <w:t xml:space="preserve">: no mínimo 8gb tipo ddr-4 3.200 mhz </w:t>
            </w:r>
            <w:proofErr w:type="gramStart"/>
            <w:r w:rsidRPr="002F43BB">
              <w:rPr>
                <w:rFonts w:eastAsia="SimSun"/>
                <w:sz w:val="24"/>
                <w:szCs w:val="24"/>
                <w:lang w:eastAsia="zh-CN"/>
              </w:rPr>
              <w:t>ou Superior</w:t>
            </w:r>
            <w:proofErr w:type="gramEnd"/>
            <w:r w:rsidRPr="002F43BB">
              <w:rPr>
                <w:rFonts w:eastAsia="SimSun"/>
                <w:sz w:val="24"/>
                <w:szCs w:val="24"/>
                <w:lang w:eastAsia="zh-CN"/>
              </w:rPr>
              <w:t xml:space="preserve">, se adequando plenamente a velocidade de barramento da Placa mãe e do processador, possibilitando o máximo de Aproveitamento; deverá possuir capacidade de expansão mínima de 64gb. Disco </w:t>
            </w:r>
            <w:proofErr w:type="spellStart"/>
            <w:r w:rsidRPr="002F43BB">
              <w:rPr>
                <w:rFonts w:eastAsia="SimSun"/>
                <w:sz w:val="24"/>
                <w:szCs w:val="24"/>
                <w:lang w:eastAsia="zh-CN"/>
              </w:rPr>
              <w:t>rigido</w:t>
            </w:r>
            <w:proofErr w:type="spellEnd"/>
            <w:r w:rsidRPr="002F43BB">
              <w:rPr>
                <w:rFonts w:eastAsia="SimSun"/>
                <w:sz w:val="24"/>
                <w:szCs w:val="24"/>
                <w:lang w:eastAsia="zh-CN"/>
              </w:rPr>
              <w:t xml:space="preserve">: deverá possuir instalado internamente ao Gabinete 01 (uma) unidade </w:t>
            </w:r>
            <w:proofErr w:type="spellStart"/>
            <w:r w:rsidRPr="002F43BB">
              <w:rPr>
                <w:rFonts w:eastAsia="SimSun"/>
                <w:sz w:val="24"/>
                <w:szCs w:val="24"/>
                <w:lang w:eastAsia="zh-CN"/>
              </w:rPr>
              <w:t>ssd</w:t>
            </w:r>
            <w:proofErr w:type="spellEnd"/>
            <w:r w:rsidRPr="002F43BB">
              <w:rPr>
                <w:rFonts w:eastAsia="SimSun"/>
                <w:sz w:val="24"/>
                <w:szCs w:val="24"/>
                <w:lang w:eastAsia="zh-CN"/>
              </w:rPr>
              <w:t xml:space="preserve"> com capacidade de no mínimo 256gb com conexão do tipo m.2 </w:t>
            </w:r>
            <w:proofErr w:type="spellStart"/>
            <w:r w:rsidRPr="002F43BB">
              <w:rPr>
                <w:rFonts w:eastAsia="SimSun"/>
                <w:sz w:val="24"/>
                <w:szCs w:val="24"/>
                <w:lang w:eastAsia="zh-CN"/>
              </w:rPr>
              <w:t>nvme</w:t>
            </w:r>
            <w:proofErr w:type="spellEnd"/>
            <w:r w:rsidRPr="002F43BB">
              <w:rPr>
                <w:rFonts w:eastAsia="SimSun"/>
                <w:sz w:val="24"/>
                <w:szCs w:val="24"/>
                <w:lang w:eastAsia="zh-CN"/>
              </w:rPr>
              <w:t xml:space="preserve">, sendo do mesmo fabricante do Equipamento ofertado ou homologado por ele. Gabinete: possuir no mínimo: 1 (uma) baia 3,5” interno; deverá possuir alto-falantes Integrado ao gabinete para reproduzir sons. Fonte de Alimentação: deverá possuir fonte de energia com no máximo 310 Watts auto </w:t>
            </w:r>
            <w:proofErr w:type="spellStart"/>
            <w:r w:rsidRPr="002F43BB">
              <w:rPr>
                <w:rFonts w:eastAsia="SimSun"/>
                <w:sz w:val="24"/>
                <w:szCs w:val="24"/>
                <w:lang w:eastAsia="zh-CN"/>
              </w:rPr>
              <w:t>sensing</w:t>
            </w:r>
            <w:proofErr w:type="spellEnd"/>
            <w:r w:rsidRPr="002F43BB">
              <w:rPr>
                <w:rFonts w:eastAsia="SimSun"/>
                <w:sz w:val="24"/>
                <w:szCs w:val="24"/>
                <w:lang w:eastAsia="zh-CN"/>
              </w:rPr>
              <w:t xml:space="preserve">, com eficiência energética 85% comprovada pela certificação 80plus na categoria bronze ou superior. Teclado: teclado abnt2 com conector usb; o teclado deverá ser Da mesma </w:t>
            </w:r>
            <w:r w:rsidRPr="002F43BB">
              <w:rPr>
                <w:rFonts w:eastAsia="SimSun"/>
                <w:sz w:val="24"/>
                <w:szCs w:val="24"/>
                <w:lang w:eastAsia="zh-CN"/>
              </w:rPr>
              <w:lastRenderedPageBreak/>
              <w:t xml:space="preserve">marca e cor do fabricante do equipamento. Mouse: mouse Ótico com conector usb dispositivo dotado com 3 botões (sendo Um botão para rolagem de telas – “scroll”); o mouse deverá ser da Mesma marca e cor do fabricante do equipamento. Sistema Operacional: o equipamento deverá ser fornecido com licença do sistema operacional </w:t>
            </w:r>
            <w:proofErr w:type="spellStart"/>
            <w:r w:rsidRPr="002F43BB">
              <w:rPr>
                <w:rFonts w:eastAsia="SimSun"/>
                <w:sz w:val="24"/>
                <w:szCs w:val="24"/>
                <w:lang w:eastAsia="zh-CN"/>
              </w:rPr>
              <w:t>microsoft</w:t>
            </w:r>
            <w:proofErr w:type="spellEnd"/>
            <w:r w:rsidRPr="002F43BB">
              <w:rPr>
                <w:rFonts w:eastAsia="SimSun"/>
                <w:sz w:val="24"/>
                <w:szCs w:val="24"/>
                <w:lang w:eastAsia="zh-CN"/>
              </w:rPr>
              <w:t xml:space="preserve">® </w:t>
            </w:r>
            <w:proofErr w:type="spellStart"/>
            <w:r w:rsidRPr="002F43BB">
              <w:rPr>
                <w:rFonts w:eastAsia="SimSun"/>
                <w:sz w:val="24"/>
                <w:szCs w:val="24"/>
                <w:lang w:eastAsia="zh-CN"/>
              </w:rPr>
              <w:t>windows</w:t>
            </w:r>
            <w:proofErr w:type="spellEnd"/>
            <w:r w:rsidRPr="002F43BB">
              <w:rPr>
                <w:rFonts w:eastAsia="SimSun"/>
                <w:sz w:val="24"/>
                <w:szCs w:val="24"/>
                <w:lang w:eastAsia="zh-CN"/>
              </w:rPr>
              <w:t xml:space="preserve"> 11 professional, 64 bits ou superior, idioma português (brasil) instalado em fábrica com software de </w:t>
            </w:r>
            <w:proofErr w:type="spellStart"/>
            <w:r w:rsidRPr="002F43BB">
              <w:rPr>
                <w:rFonts w:eastAsia="SimSun"/>
                <w:sz w:val="24"/>
                <w:szCs w:val="24"/>
                <w:lang w:eastAsia="zh-CN"/>
              </w:rPr>
              <w:t>recovery</w:t>
            </w:r>
            <w:proofErr w:type="spellEnd"/>
            <w:r w:rsidRPr="002F43BB">
              <w:rPr>
                <w:rFonts w:eastAsia="SimSun"/>
                <w:sz w:val="24"/>
                <w:szCs w:val="24"/>
                <w:lang w:eastAsia="zh-CN"/>
              </w:rPr>
              <w:t>.</w:t>
            </w:r>
          </w:p>
        </w:tc>
      </w:tr>
      <w:tr w:rsidR="004169C1" w:rsidRPr="002F43BB" w14:paraId="6379C93D" w14:textId="77777777" w:rsidTr="0016330A">
        <w:trPr>
          <w:trHeight w:val="5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2" w:type="dxa"/>
            </w:tcMar>
            <w:vAlign w:val="center"/>
          </w:tcPr>
          <w:p w14:paraId="46CD0910" w14:textId="77777777" w:rsidR="004169C1" w:rsidRPr="002F43BB" w:rsidRDefault="004169C1" w:rsidP="0016330A">
            <w:pPr>
              <w:spacing w:before="120"/>
              <w:jc w:val="center"/>
              <w:rPr>
                <w:b/>
                <w:sz w:val="24"/>
                <w:szCs w:val="24"/>
                <w:lang w:eastAsia="zh-CN"/>
              </w:rPr>
            </w:pPr>
            <w:r w:rsidRPr="002F43BB">
              <w:rPr>
                <w:b/>
                <w:sz w:val="24"/>
                <w:szCs w:val="24"/>
                <w:lang w:eastAsia="zh-CN"/>
              </w:rPr>
              <w:lastRenderedPageBreak/>
              <w:t>02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9" w:type="dxa"/>
            </w:tcMar>
            <w:vAlign w:val="center"/>
          </w:tcPr>
          <w:p w14:paraId="42E1840D" w14:textId="77777777" w:rsidR="004169C1" w:rsidRPr="002F43BB" w:rsidRDefault="004169C1" w:rsidP="0016330A">
            <w:pPr>
              <w:suppressAutoHyphens/>
              <w:spacing w:line="100" w:lineRule="atLeast"/>
              <w:jc w:val="center"/>
              <w:rPr>
                <w:rFonts w:eastAsia="DejaVu Sans"/>
                <w:b/>
                <w:sz w:val="24"/>
                <w:szCs w:val="24"/>
                <w:lang w:eastAsia="en-US"/>
              </w:rPr>
            </w:pPr>
            <w:r w:rsidRPr="002F43BB">
              <w:rPr>
                <w:rFonts w:eastAsia="DejaVu Sans"/>
                <w:b/>
                <w:sz w:val="24"/>
                <w:szCs w:val="24"/>
                <w:lang w:eastAsia="en-US"/>
              </w:rPr>
              <w:t>10</w:t>
            </w:r>
          </w:p>
          <w:p w14:paraId="6093CD5F" w14:textId="77777777" w:rsidR="004169C1" w:rsidRPr="002F43BB" w:rsidRDefault="004169C1" w:rsidP="0016330A">
            <w:pPr>
              <w:suppressAutoHyphens/>
              <w:spacing w:line="100" w:lineRule="atLeast"/>
              <w:jc w:val="center"/>
              <w:rPr>
                <w:rFonts w:eastAsia="DejaVu Sans"/>
                <w:b/>
                <w:sz w:val="24"/>
                <w:szCs w:val="24"/>
                <w:lang w:eastAsia="en-US"/>
              </w:rPr>
            </w:pPr>
            <w:r w:rsidRPr="002F43BB">
              <w:rPr>
                <w:rFonts w:eastAsia="DejaVu Sans"/>
                <w:b/>
                <w:sz w:val="24"/>
                <w:szCs w:val="24"/>
                <w:lang w:eastAsia="en-US"/>
              </w:rPr>
              <w:t>UND.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AFDF" w14:textId="77777777" w:rsidR="004169C1" w:rsidRPr="002F43BB" w:rsidRDefault="004169C1" w:rsidP="004169C1">
            <w:pPr>
              <w:jc w:val="both"/>
              <w:rPr>
                <w:b/>
                <w:sz w:val="24"/>
                <w:szCs w:val="24"/>
                <w:lang w:eastAsia="zh-CN"/>
              </w:rPr>
            </w:pPr>
            <w:r w:rsidRPr="002F43BB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Monitor corporativo 21.5 polegadas com as seguintes características mínimas:</w:t>
            </w:r>
            <w:r w:rsidRPr="002F43BB">
              <w:rPr>
                <w:rFonts w:eastAsia="SimSun"/>
                <w:sz w:val="24"/>
                <w:szCs w:val="24"/>
                <w:lang w:eastAsia="zh-CN"/>
              </w:rPr>
              <w:t xml:space="preserve"> novo (sem uso, reformados ou recondicionados), devem pertencer à linha corporativa: monitor de vídeo: tela tipo led com resolução de no mínimo 1920x1080, acabamento antirreflexo; área visível de, no mínimo, 21,5 polegadas; contraste igual ou superior a 1.000:1; ângulo de visão de 178 h / 178 v; deverá possuir no mínimo 2 portas integradas ao monitor, sendo 1 (uma) do tipo </w:t>
            </w:r>
            <w:proofErr w:type="spellStart"/>
            <w:r w:rsidRPr="002F43BB">
              <w:rPr>
                <w:rFonts w:eastAsia="SimSun"/>
                <w:sz w:val="24"/>
                <w:szCs w:val="24"/>
                <w:lang w:eastAsia="zh-CN"/>
              </w:rPr>
              <w:t>hdmi</w:t>
            </w:r>
            <w:proofErr w:type="spellEnd"/>
            <w:r w:rsidRPr="002F43BB">
              <w:rPr>
                <w:rFonts w:eastAsia="SimSun"/>
                <w:sz w:val="24"/>
                <w:szCs w:val="24"/>
                <w:lang w:eastAsia="zh-CN"/>
              </w:rPr>
              <w:t xml:space="preserve"> e 1 (uma) do tipo </w:t>
            </w:r>
            <w:proofErr w:type="spellStart"/>
            <w:r w:rsidRPr="002F43BB">
              <w:rPr>
                <w:rFonts w:eastAsia="SimSun"/>
                <w:sz w:val="24"/>
                <w:szCs w:val="24"/>
                <w:lang w:eastAsia="zh-CN"/>
              </w:rPr>
              <w:t>vga</w:t>
            </w:r>
            <w:proofErr w:type="spellEnd"/>
            <w:r w:rsidRPr="002F43BB">
              <w:rPr>
                <w:rFonts w:eastAsia="SimSun"/>
                <w:sz w:val="24"/>
                <w:szCs w:val="24"/>
                <w:lang w:eastAsia="zh-CN"/>
              </w:rPr>
              <w:t xml:space="preserve"> ou display </w:t>
            </w:r>
            <w:proofErr w:type="spellStart"/>
            <w:r w:rsidRPr="002F43BB">
              <w:rPr>
                <w:rFonts w:eastAsia="SimSun"/>
                <w:sz w:val="24"/>
                <w:szCs w:val="24"/>
                <w:lang w:eastAsia="zh-CN"/>
              </w:rPr>
              <w:t>port</w:t>
            </w:r>
            <w:proofErr w:type="spellEnd"/>
            <w:r w:rsidRPr="002F43BB">
              <w:rPr>
                <w:rFonts w:eastAsia="SimSun"/>
                <w:sz w:val="24"/>
                <w:szCs w:val="24"/>
                <w:lang w:eastAsia="zh-CN"/>
              </w:rPr>
              <w:t xml:space="preserve">; o monitor deverá ser fornecido com cabo de energia; deverá acompanhar cabo de vídeo </w:t>
            </w:r>
            <w:proofErr w:type="spellStart"/>
            <w:r w:rsidRPr="002F43BB">
              <w:rPr>
                <w:rFonts w:eastAsia="SimSun"/>
                <w:sz w:val="24"/>
                <w:szCs w:val="24"/>
                <w:lang w:eastAsia="zh-CN"/>
              </w:rPr>
              <w:t>hdmi</w:t>
            </w:r>
            <w:proofErr w:type="spellEnd"/>
          </w:p>
        </w:tc>
      </w:tr>
      <w:tr w:rsidR="004169C1" w:rsidRPr="002F43BB" w14:paraId="59F3EB11" w14:textId="77777777" w:rsidTr="0016330A">
        <w:trPr>
          <w:trHeight w:val="5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2" w:type="dxa"/>
            </w:tcMar>
            <w:vAlign w:val="center"/>
          </w:tcPr>
          <w:p w14:paraId="522A1116" w14:textId="77777777" w:rsidR="004169C1" w:rsidRPr="002F43BB" w:rsidRDefault="004169C1" w:rsidP="0016330A">
            <w:pPr>
              <w:spacing w:before="120"/>
              <w:jc w:val="center"/>
              <w:rPr>
                <w:b/>
                <w:sz w:val="24"/>
                <w:szCs w:val="24"/>
                <w:lang w:eastAsia="zh-CN"/>
              </w:rPr>
            </w:pPr>
            <w:r w:rsidRPr="002F43BB">
              <w:rPr>
                <w:b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9" w:type="dxa"/>
            </w:tcMar>
            <w:vAlign w:val="center"/>
          </w:tcPr>
          <w:p w14:paraId="32DE505C" w14:textId="77777777" w:rsidR="004169C1" w:rsidRPr="002F43BB" w:rsidRDefault="004169C1" w:rsidP="0016330A">
            <w:pPr>
              <w:suppressAutoHyphens/>
              <w:spacing w:line="100" w:lineRule="atLeast"/>
              <w:jc w:val="center"/>
              <w:rPr>
                <w:rFonts w:eastAsia="DejaVu Sans"/>
                <w:b/>
                <w:sz w:val="24"/>
                <w:szCs w:val="24"/>
                <w:lang w:eastAsia="en-US"/>
              </w:rPr>
            </w:pPr>
            <w:r w:rsidRPr="002F43BB">
              <w:rPr>
                <w:rFonts w:eastAsia="DejaVu Sans"/>
                <w:b/>
                <w:sz w:val="24"/>
                <w:szCs w:val="24"/>
                <w:lang w:eastAsia="en-US"/>
              </w:rPr>
              <w:t>10</w:t>
            </w:r>
          </w:p>
          <w:p w14:paraId="15BDAB52" w14:textId="77777777" w:rsidR="004169C1" w:rsidRPr="002F43BB" w:rsidRDefault="004169C1" w:rsidP="0016330A">
            <w:pPr>
              <w:suppressAutoHyphens/>
              <w:spacing w:line="100" w:lineRule="atLeast"/>
              <w:jc w:val="center"/>
              <w:rPr>
                <w:rFonts w:eastAsia="DejaVu Sans"/>
                <w:b/>
                <w:sz w:val="24"/>
                <w:szCs w:val="24"/>
                <w:lang w:eastAsia="en-US"/>
              </w:rPr>
            </w:pPr>
            <w:r w:rsidRPr="002F43BB">
              <w:rPr>
                <w:rFonts w:eastAsia="DejaVu Sans"/>
                <w:b/>
                <w:sz w:val="24"/>
                <w:szCs w:val="24"/>
                <w:lang w:eastAsia="en-US"/>
              </w:rPr>
              <w:t>UND.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30B9" w14:textId="77777777" w:rsidR="004169C1" w:rsidRPr="002F43BB" w:rsidRDefault="004169C1" w:rsidP="004169C1">
            <w:pPr>
              <w:jc w:val="both"/>
              <w:rPr>
                <w:b/>
                <w:sz w:val="24"/>
                <w:szCs w:val="24"/>
                <w:lang w:eastAsia="zh-CN"/>
              </w:rPr>
            </w:pPr>
            <w:r w:rsidRPr="002F43BB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Nobreak 600va com as seguintes características mínimas:</w:t>
            </w:r>
            <w:r w:rsidRPr="002F43BB">
              <w:rPr>
                <w:rFonts w:eastAsia="SimSun"/>
                <w:sz w:val="24"/>
                <w:szCs w:val="24"/>
                <w:lang w:eastAsia="zh-CN"/>
              </w:rPr>
              <w:t xml:space="preserve"> nobreak microprocessado com memória flash; forma de onda </w:t>
            </w:r>
            <w:proofErr w:type="spellStart"/>
            <w:r w:rsidRPr="002F43BB">
              <w:rPr>
                <w:rFonts w:eastAsia="SimSun"/>
                <w:sz w:val="24"/>
                <w:szCs w:val="24"/>
                <w:lang w:eastAsia="zh-CN"/>
              </w:rPr>
              <w:t>semisenoidal</w:t>
            </w:r>
            <w:proofErr w:type="spellEnd"/>
            <w:r w:rsidRPr="002F43BB">
              <w:rPr>
                <w:rFonts w:eastAsia="SimSun"/>
                <w:sz w:val="24"/>
                <w:szCs w:val="24"/>
                <w:lang w:eastAsia="zh-CN"/>
              </w:rPr>
              <w:t xml:space="preserve">; potência nominal de pelo menos 600va; potência continua de pelo menos 300va; potência de pico de 300w; pelo menos 2 (quatro) estágios de regulação; possuir pelo menos 1 (uma) bateria interna, selada, livre de manutenção e a prova de vazamento com pelo menos 7ah; bateria selada a prova de vazamentos; autonomia mínima em meia carga de 11 minutos e típica de 7 minutos; tecnologia que permita o dispositivo ser ligado na ausência de rede elétrica; auto teste ao ser ligado, para realização de teste do circuitos internos e baterias; bivolt automático na entrada; tensão de saída 115v podendo ser selecionável internamente para 220v; pelo menos 6 tomadas no padrão </w:t>
            </w:r>
            <w:proofErr w:type="spellStart"/>
            <w:r w:rsidRPr="002F43BB">
              <w:rPr>
                <w:rFonts w:eastAsia="SimSun"/>
                <w:sz w:val="24"/>
                <w:szCs w:val="24"/>
                <w:lang w:eastAsia="zh-CN"/>
              </w:rPr>
              <w:t>abnt</w:t>
            </w:r>
            <w:proofErr w:type="spellEnd"/>
            <w:r w:rsidRPr="002F43BB">
              <w:rPr>
                <w:rFonts w:eastAsia="SimSun"/>
                <w:sz w:val="24"/>
                <w:szCs w:val="24"/>
                <w:lang w:eastAsia="zh-CN"/>
              </w:rPr>
              <w:t xml:space="preserve"> nbr-14136; leds frontais de indicação do modo de operação; botão liga/desliga temporizado; proteção contra: sobrecarga e curto-circuito no inversor, subtensão e sobretensão na rede elétrica, descarga profunda da bateria, surtos de tensão através de </w:t>
            </w:r>
            <w:proofErr w:type="spellStart"/>
            <w:r w:rsidRPr="002F43BB">
              <w:rPr>
                <w:rFonts w:eastAsia="SimSun"/>
                <w:sz w:val="24"/>
                <w:szCs w:val="24"/>
                <w:lang w:eastAsia="zh-CN"/>
              </w:rPr>
              <w:t>varistor</w:t>
            </w:r>
            <w:proofErr w:type="spellEnd"/>
            <w:r w:rsidRPr="002F43BB">
              <w:rPr>
                <w:rFonts w:eastAsia="SimSun"/>
                <w:sz w:val="24"/>
                <w:szCs w:val="24"/>
                <w:lang w:eastAsia="zh-CN"/>
              </w:rPr>
              <w:t xml:space="preserve">; recarga automática da bateria mesmo com o nobreak desligado; gerenciamento da bateria, a fim de informar quando a mesma precisa ser substituída; </w:t>
            </w:r>
            <w:proofErr w:type="spellStart"/>
            <w:r w:rsidRPr="002F43BB">
              <w:rPr>
                <w:rFonts w:eastAsia="SimSun"/>
                <w:sz w:val="24"/>
                <w:szCs w:val="24"/>
                <w:lang w:eastAsia="zh-CN"/>
              </w:rPr>
              <w:t>true</w:t>
            </w:r>
            <w:proofErr w:type="spellEnd"/>
            <w:r w:rsidRPr="002F43BB">
              <w:rPr>
                <w:rFonts w:eastAsia="SimSu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F43BB">
              <w:rPr>
                <w:rFonts w:eastAsia="SimSun"/>
                <w:sz w:val="24"/>
                <w:szCs w:val="24"/>
                <w:lang w:eastAsia="zh-CN"/>
              </w:rPr>
              <w:t>rms</w:t>
            </w:r>
            <w:proofErr w:type="spellEnd"/>
            <w:r w:rsidRPr="002F43BB">
              <w:rPr>
                <w:rFonts w:eastAsia="SimSun"/>
                <w:sz w:val="24"/>
                <w:szCs w:val="24"/>
                <w:lang w:eastAsia="zh-CN"/>
              </w:rPr>
              <w:t xml:space="preserve"> (indicado para qualquer tipo de rede, principalmente redes instáveis); alarme audiovisual para sinalização de eventos; nobreak de fabricação próprio pelo fabricante.</w:t>
            </w:r>
          </w:p>
        </w:tc>
      </w:tr>
    </w:tbl>
    <w:p w14:paraId="5B583EE8" w14:textId="77777777" w:rsidR="00372F86" w:rsidRPr="00A75772" w:rsidRDefault="00372F86" w:rsidP="00372F86">
      <w:pPr>
        <w:jc w:val="both"/>
        <w:rPr>
          <w:b/>
          <w:color w:val="FF0000"/>
          <w:sz w:val="24"/>
          <w:szCs w:val="24"/>
          <w:u w:val="single"/>
        </w:rPr>
      </w:pPr>
    </w:p>
    <w:p w14:paraId="637239D9" w14:textId="77777777" w:rsidR="00372F86" w:rsidRPr="00A75772" w:rsidRDefault="00372F86" w:rsidP="00372F86">
      <w:pPr>
        <w:jc w:val="both"/>
        <w:rPr>
          <w:b/>
          <w:color w:val="FF0000"/>
          <w:sz w:val="24"/>
          <w:szCs w:val="24"/>
          <w:u w:val="single"/>
        </w:rPr>
      </w:pPr>
    </w:p>
    <w:p w14:paraId="3022256E" w14:textId="77777777" w:rsidR="00372F86" w:rsidRPr="00035ABA" w:rsidRDefault="00372F86" w:rsidP="00372F86">
      <w:pPr>
        <w:jc w:val="both"/>
        <w:rPr>
          <w:b/>
          <w:sz w:val="24"/>
          <w:szCs w:val="24"/>
        </w:rPr>
      </w:pPr>
      <w:r w:rsidRPr="00035ABA">
        <w:rPr>
          <w:b/>
          <w:sz w:val="24"/>
          <w:szCs w:val="24"/>
          <w:u w:val="single"/>
        </w:rPr>
        <w:t>FUNDAMENTO DA DISPENSA - JUSTIFICATIVA</w:t>
      </w:r>
      <w:r w:rsidRPr="00035ABA">
        <w:rPr>
          <w:b/>
          <w:sz w:val="24"/>
          <w:szCs w:val="24"/>
        </w:rPr>
        <w:t>:</w:t>
      </w:r>
    </w:p>
    <w:p w14:paraId="2902C082" w14:textId="77777777" w:rsidR="00372F86" w:rsidRPr="00035ABA" w:rsidRDefault="00372F86" w:rsidP="00372F86">
      <w:pPr>
        <w:jc w:val="both"/>
        <w:rPr>
          <w:sz w:val="24"/>
          <w:szCs w:val="24"/>
        </w:rPr>
      </w:pPr>
      <w:r w:rsidRPr="00035ABA">
        <w:rPr>
          <w:sz w:val="24"/>
          <w:szCs w:val="24"/>
        </w:rPr>
        <w:t>As compras e contratações das entidades públicas seguem obrigatoriamente um regime regulamentado por Lei. O fundamento principal que reza por esta iniciativa é o artigo. 37, inciso XXI, da Constituição Federal de 1988, no qual determina que as obras, os serviços, compras e alienações devem ocorrer por meio de licitações.</w:t>
      </w:r>
    </w:p>
    <w:p w14:paraId="69A00301" w14:textId="77777777" w:rsidR="00372F86" w:rsidRPr="00035ABA" w:rsidRDefault="00372F86" w:rsidP="00372F86">
      <w:pPr>
        <w:jc w:val="both"/>
        <w:rPr>
          <w:sz w:val="24"/>
          <w:szCs w:val="24"/>
        </w:rPr>
      </w:pPr>
    </w:p>
    <w:p w14:paraId="3AA03E04" w14:textId="77777777" w:rsidR="00372F86" w:rsidRPr="00035ABA" w:rsidRDefault="00372F86" w:rsidP="00372F86">
      <w:pPr>
        <w:jc w:val="both"/>
        <w:rPr>
          <w:sz w:val="24"/>
          <w:szCs w:val="24"/>
        </w:rPr>
      </w:pPr>
      <w:r w:rsidRPr="00035ABA">
        <w:rPr>
          <w:bCs/>
          <w:iCs/>
          <w:sz w:val="24"/>
          <w:szCs w:val="24"/>
        </w:rPr>
        <w:t>Para melhor entendimento, vejamos o que dispõe o inciso XXI do Artigo 37 da CF/1988:</w:t>
      </w:r>
    </w:p>
    <w:p w14:paraId="3077F493" w14:textId="77777777" w:rsidR="00372F86" w:rsidRPr="00035ABA" w:rsidRDefault="00372F86" w:rsidP="00372F86">
      <w:pPr>
        <w:ind w:left="708"/>
        <w:jc w:val="both"/>
        <w:rPr>
          <w:bCs/>
          <w:i/>
          <w:iCs/>
          <w:sz w:val="24"/>
          <w:szCs w:val="24"/>
        </w:rPr>
      </w:pPr>
      <w:r w:rsidRPr="00035ABA">
        <w:rPr>
          <w:sz w:val="24"/>
          <w:szCs w:val="24"/>
        </w:rPr>
        <w:tab/>
      </w:r>
      <w:r w:rsidRPr="00035ABA">
        <w:rPr>
          <w:sz w:val="24"/>
          <w:szCs w:val="24"/>
        </w:rPr>
        <w:tab/>
      </w:r>
      <w:r w:rsidRPr="00035ABA">
        <w:rPr>
          <w:sz w:val="24"/>
          <w:szCs w:val="24"/>
        </w:rPr>
        <w:tab/>
      </w:r>
      <w:r w:rsidRPr="00035ABA">
        <w:rPr>
          <w:sz w:val="24"/>
          <w:szCs w:val="24"/>
        </w:rPr>
        <w:tab/>
      </w:r>
      <w:r w:rsidRPr="00035ABA">
        <w:rPr>
          <w:bCs/>
          <w:i/>
          <w:iCs/>
          <w:sz w:val="24"/>
          <w:szCs w:val="24"/>
        </w:rPr>
        <w:t>(...)</w:t>
      </w:r>
    </w:p>
    <w:p w14:paraId="04EE6C12" w14:textId="77777777" w:rsidR="00372F86" w:rsidRPr="00035ABA" w:rsidRDefault="00372F86" w:rsidP="00372F86">
      <w:pPr>
        <w:ind w:left="3540"/>
        <w:jc w:val="both"/>
        <w:rPr>
          <w:bCs/>
          <w:i/>
          <w:iCs/>
          <w:sz w:val="24"/>
          <w:szCs w:val="24"/>
        </w:rPr>
      </w:pPr>
      <w:r w:rsidRPr="00035ABA">
        <w:rPr>
          <w:bCs/>
          <w:i/>
          <w:iCs/>
          <w:sz w:val="24"/>
          <w:szCs w:val="24"/>
        </w:rPr>
        <w:t xml:space="preserve"> “XXI - ressalvados os casos especificados na legislação, as obras, serviços, compras e alienações serão contratados mediante processo de licitação pública que assegure igualdade de condições a todos os concorrentes, </w:t>
      </w:r>
      <w:r w:rsidRPr="00035ABA">
        <w:rPr>
          <w:bCs/>
          <w:i/>
          <w:iCs/>
          <w:sz w:val="24"/>
          <w:szCs w:val="24"/>
        </w:rPr>
        <w:lastRenderedPageBreak/>
        <w:t>com cláusulas que estabeleçam obrigações de pagamento, mantidas as condições efetivas da proposta, nos termos da lei, o qual somente permitirá as exigências de qualificação técnica e econômica indispensáveis à garantia do cumprimento das obrigações.”</w:t>
      </w:r>
    </w:p>
    <w:p w14:paraId="49B498A6" w14:textId="77777777" w:rsidR="00372F86" w:rsidRPr="00035ABA" w:rsidRDefault="00372F86" w:rsidP="00372F86">
      <w:pPr>
        <w:ind w:left="3540"/>
        <w:jc w:val="both"/>
        <w:rPr>
          <w:sz w:val="24"/>
          <w:szCs w:val="24"/>
        </w:rPr>
      </w:pPr>
    </w:p>
    <w:p w14:paraId="3050F54B" w14:textId="77777777" w:rsidR="00372F86" w:rsidRPr="00035ABA" w:rsidRDefault="00372F86" w:rsidP="00372F86">
      <w:pPr>
        <w:jc w:val="both"/>
        <w:rPr>
          <w:sz w:val="24"/>
          <w:szCs w:val="24"/>
        </w:rPr>
      </w:pPr>
      <w:r w:rsidRPr="00035ABA">
        <w:rPr>
          <w:sz w:val="24"/>
          <w:szCs w:val="24"/>
        </w:rPr>
        <w:t>A licitação foi o meio encontrado pela Administração Pública, para tornar isonômica a participação de interessados em procedimentos que visam suprir as necessidades dos órgãos públicos acerca dos serviços disponibilizados por pessoas físicas e/ou pessoas jurídicas nos campos mercadológicos distritais, municipais, estaduais e nacionais, e ainda procurar conseguir a proposta mais vantajosa às contratações.</w:t>
      </w:r>
    </w:p>
    <w:p w14:paraId="2CDF01AF" w14:textId="77777777" w:rsidR="00372F86" w:rsidRPr="00035ABA" w:rsidRDefault="00372F86" w:rsidP="00372F86">
      <w:pPr>
        <w:jc w:val="both"/>
        <w:rPr>
          <w:sz w:val="24"/>
          <w:szCs w:val="24"/>
        </w:rPr>
      </w:pPr>
    </w:p>
    <w:p w14:paraId="02505C56" w14:textId="77777777" w:rsidR="00372F86" w:rsidRPr="00035ABA" w:rsidRDefault="00372F86" w:rsidP="00372F86">
      <w:pPr>
        <w:jc w:val="both"/>
        <w:rPr>
          <w:sz w:val="24"/>
          <w:szCs w:val="24"/>
        </w:rPr>
      </w:pPr>
      <w:r w:rsidRPr="00035ABA">
        <w:rPr>
          <w:sz w:val="24"/>
          <w:szCs w:val="24"/>
        </w:rPr>
        <w:t xml:space="preserve">Para regulamentar o exercício dessa atividade foi então criada a Lei Federal nº 8.666 de 21 de junho de 1993, mais conhecida como Lei de Licitações e Contratos Administrativos. </w:t>
      </w:r>
      <w:r>
        <w:rPr>
          <w:sz w:val="24"/>
          <w:szCs w:val="24"/>
        </w:rPr>
        <w:t>No ano de 2021</w:t>
      </w:r>
      <w:r w:rsidRPr="00035ABA">
        <w:rPr>
          <w:sz w:val="24"/>
          <w:szCs w:val="24"/>
        </w:rPr>
        <w:t xml:space="preserve"> foi sancionada a Lei Federal nº 14.133 de 1º de abril de 2021, a qual ve</w:t>
      </w:r>
      <w:r>
        <w:rPr>
          <w:sz w:val="24"/>
          <w:szCs w:val="24"/>
        </w:rPr>
        <w:t>io</w:t>
      </w:r>
      <w:r w:rsidRPr="00035ABA">
        <w:rPr>
          <w:sz w:val="24"/>
          <w:szCs w:val="24"/>
        </w:rPr>
        <w:t xml:space="preserve"> para substituir a antiga lei, e tem um prazo de 02 anos para adequação e uso obrigatório. Com isso, durante este tempo os órgãos públicos podem optar entre as duas em seus processos licitatórios. </w:t>
      </w:r>
    </w:p>
    <w:p w14:paraId="5FF306D6" w14:textId="77777777" w:rsidR="00372F86" w:rsidRPr="00035ABA" w:rsidRDefault="00372F86" w:rsidP="00372F86">
      <w:pPr>
        <w:jc w:val="both"/>
        <w:rPr>
          <w:sz w:val="24"/>
          <w:szCs w:val="24"/>
        </w:rPr>
      </w:pPr>
    </w:p>
    <w:p w14:paraId="095A3769" w14:textId="77777777" w:rsidR="00372F86" w:rsidRPr="00035ABA" w:rsidRDefault="00372F86" w:rsidP="00372F86">
      <w:pPr>
        <w:jc w:val="both"/>
        <w:rPr>
          <w:sz w:val="24"/>
          <w:szCs w:val="24"/>
        </w:rPr>
      </w:pPr>
      <w:r w:rsidRPr="00035ABA">
        <w:rPr>
          <w:sz w:val="24"/>
          <w:szCs w:val="24"/>
        </w:rPr>
        <w:t>O objetivo da licitação é contratar a proposta mais vantajosa, primando pelos princípios da legalidade, impessoalidade, igualdade, moralidade e publicidade. Licitar é regra. Entretanto, há aquisições e contratações que possuem caracterizações específicas tornando desnecessárias e/ou inviáveis as licitações nos trâmites usuais, frustrando a realização adequada das funções estatais.</w:t>
      </w:r>
    </w:p>
    <w:p w14:paraId="650C5E55" w14:textId="77777777" w:rsidR="00372F86" w:rsidRPr="00035ABA" w:rsidRDefault="00372F86" w:rsidP="00372F86">
      <w:pPr>
        <w:jc w:val="both"/>
        <w:rPr>
          <w:sz w:val="24"/>
          <w:szCs w:val="24"/>
        </w:rPr>
      </w:pPr>
    </w:p>
    <w:p w14:paraId="268BBCA5" w14:textId="77777777" w:rsidR="00372F86" w:rsidRPr="00035ABA" w:rsidRDefault="00372F86" w:rsidP="00372F86">
      <w:pPr>
        <w:jc w:val="both"/>
        <w:rPr>
          <w:sz w:val="24"/>
          <w:szCs w:val="24"/>
        </w:rPr>
      </w:pPr>
      <w:r w:rsidRPr="00035ABA">
        <w:rPr>
          <w:sz w:val="24"/>
          <w:szCs w:val="24"/>
        </w:rPr>
        <w:t>Na ocorrência de licitações desnecessárias e/ou inviáveis, a lei previu exceções à regra, as chamadas Dispensas de Licitações e a Inexigibilidade de Licitação.</w:t>
      </w:r>
    </w:p>
    <w:p w14:paraId="59D0D0A5" w14:textId="77777777" w:rsidR="00372F86" w:rsidRPr="00035ABA" w:rsidRDefault="00372F86" w:rsidP="00372F86">
      <w:pPr>
        <w:jc w:val="both"/>
        <w:rPr>
          <w:b/>
          <w:sz w:val="24"/>
          <w:szCs w:val="24"/>
        </w:rPr>
      </w:pPr>
    </w:p>
    <w:p w14:paraId="631A5EF1" w14:textId="4D994D04" w:rsidR="004169C1" w:rsidRDefault="00372F86" w:rsidP="004169C1">
      <w:pPr>
        <w:jc w:val="both"/>
        <w:rPr>
          <w:rFonts w:eastAsia="SimSun"/>
          <w:b/>
          <w:bCs/>
          <w:sz w:val="24"/>
          <w:szCs w:val="24"/>
          <w:lang w:eastAsia="zh-CN"/>
        </w:rPr>
      </w:pPr>
      <w:r w:rsidRPr="00D35782">
        <w:rPr>
          <w:sz w:val="24"/>
          <w:szCs w:val="24"/>
        </w:rPr>
        <w:t xml:space="preserve">A Dispensa de Licitação para </w:t>
      </w:r>
      <w:r w:rsidR="004169C1" w:rsidRPr="002F43BB">
        <w:rPr>
          <w:rFonts w:eastAsia="SimSun"/>
          <w:b/>
          <w:bCs/>
          <w:sz w:val="24"/>
          <w:szCs w:val="24"/>
          <w:lang w:eastAsia="zh-CN"/>
        </w:rPr>
        <w:t xml:space="preserve">a </w:t>
      </w:r>
      <w:r w:rsidR="004169C1" w:rsidRPr="004169C1">
        <w:rPr>
          <w:rFonts w:eastAsia="SimSun"/>
          <w:sz w:val="24"/>
          <w:szCs w:val="24"/>
          <w:lang w:eastAsia="zh-CN"/>
        </w:rPr>
        <w:t>Aquisição parcelada de Equipamentos de Informática para atender a demanda das diversas Secretarias Municipais de Ronda Alta/RS</w:t>
      </w:r>
      <w:r w:rsidR="004169C1">
        <w:rPr>
          <w:rFonts w:eastAsia="SimSun"/>
          <w:b/>
          <w:bCs/>
          <w:sz w:val="24"/>
          <w:szCs w:val="24"/>
          <w:lang w:eastAsia="zh-CN"/>
        </w:rPr>
        <w:t>.</w:t>
      </w:r>
    </w:p>
    <w:p w14:paraId="6AB35AFD" w14:textId="05B93346" w:rsidR="00372F86" w:rsidRPr="00035ABA" w:rsidRDefault="00372F86" w:rsidP="004169C1">
      <w:pPr>
        <w:tabs>
          <w:tab w:val="left" w:pos="2835"/>
        </w:tabs>
        <w:jc w:val="both"/>
        <w:rPr>
          <w:sz w:val="24"/>
          <w:szCs w:val="24"/>
        </w:rPr>
      </w:pPr>
    </w:p>
    <w:p w14:paraId="7DB6918B" w14:textId="77777777" w:rsidR="00372F86" w:rsidRPr="00035ABA" w:rsidRDefault="00372F86" w:rsidP="00372F86">
      <w:pPr>
        <w:jc w:val="both"/>
        <w:rPr>
          <w:sz w:val="24"/>
          <w:szCs w:val="24"/>
        </w:rPr>
      </w:pPr>
    </w:p>
    <w:p w14:paraId="5FFA8871" w14:textId="77777777" w:rsidR="00372F86" w:rsidRPr="00035ABA" w:rsidRDefault="00372F86" w:rsidP="00372F86">
      <w:pPr>
        <w:jc w:val="both"/>
        <w:rPr>
          <w:b/>
          <w:noProof/>
          <w:sz w:val="24"/>
          <w:szCs w:val="24"/>
        </w:rPr>
      </w:pPr>
      <w:r w:rsidRPr="00035ABA">
        <w:rPr>
          <w:b/>
          <w:noProof/>
          <w:sz w:val="24"/>
          <w:szCs w:val="24"/>
        </w:rPr>
        <w:t xml:space="preserve">FUNDAMENTO LEGAL: </w:t>
      </w:r>
    </w:p>
    <w:p w14:paraId="29513623" w14:textId="77777777" w:rsidR="00372F86" w:rsidRPr="00035ABA" w:rsidRDefault="00372F86" w:rsidP="00372F86">
      <w:pPr>
        <w:jc w:val="both"/>
        <w:rPr>
          <w:i/>
          <w:sz w:val="24"/>
          <w:szCs w:val="24"/>
        </w:rPr>
      </w:pPr>
      <w:r w:rsidRPr="00035ABA">
        <w:rPr>
          <w:sz w:val="24"/>
          <w:szCs w:val="24"/>
        </w:rPr>
        <w:t>Trata-se de certame realizado sob a obediência ao estabelecido no art. 75, inciso II da Lei n. 14.133/2021, onde se verifica ocasião em que é cabível a dispensa de licitação</w:t>
      </w:r>
      <w:r w:rsidRPr="00035ABA">
        <w:rPr>
          <w:i/>
          <w:sz w:val="24"/>
          <w:szCs w:val="24"/>
        </w:rPr>
        <w:t>:</w:t>
      </w:r>
    </w:p>
    <w:p w14:paraId="2B96A373" w14:textId="77777777" w:rsidR="00372F86" w:rsidRPr="00035ABA" w:rsidRDefault="00372F86" w:rsidP="00372F86">
      <w:pPr>
        <w:jc w:val="both"/>
        <w:rPr>
          <w:i/>
          <w:sz w:val="24"/>
          <w:szCs w:val="24"/>
        </w:rPr>
      </w:pPr>
    </w:p>
    <w:p w14:paraId="4D09383C" w14:textId="77777777" w:rsidR="00372F86" w:rsidRPr="00035ABA" w:rsidRDefault="00372F86" w:rsidP="00372F86">
      <w:pPr>
        <w:tabs>
          <w:tab w:val="left" w:pos="1418"/>
          <w:tab w:val="left" w:pos="4253"/>
        </w:tabs>
        <w:ind w:left="3402"/>
        <w:jc w:val="both"/>
        <w:rPr>
          <w:i/>
          <w:sz w:val="24"/>
          <w:szCs w:val="24"/>
        </w:rPr>
      </w:pPr>
      <w:r w:rsidRPr="00035ABA">
        <w:rPr>
          <w:i/>
          <w:sz w:val="24"/>
          <w:szCs w:val="24"/>
        </w:rPr>
        <w:t>“Art. 75.  É dispensável a licitação:</w:t>
      </w:r>
    </w:p>
    <w:p w14:paraId="75BF3E3E" w14:textId="77777777" w:rsidR="00372F86" w:rsidRPr="00035ABA" w:rsidRDefault="00372F86" w:rsidP="00372F86">
      <w:pPr>
        <w:tabs>
          <w:tab w:val="left" w:pos="1418"/>
          <w:tab w:val="left" w:pos="4253"/>
        </w:tabs>
        <w:ind w:left="3402"/>
        <w:jc w:val="both"/>
        <w:rPr>
          <w:i/>
          <w:sz w:val="24"/>
          <w:szCs w:val="24"/>
        </w:rPr>
      </w:pPr>
      <w:r w:rsidRPr="00035ABA">
        <w:rPr>
          <w:i/>
          <w:sz w:val="24"/>
          <w:szCs w:val="24"/>
        </w:rPr>
        <w:t>[...]</w:t>
      </w:r>
    </w:p>
    <w:p w14:paraId="44C3D8AB" w14:textId="77777777" w:rsidR="00372F86" w:rsidRPr="00035ABA" w:rsidRDefault="00372F86" w:rsidP="00372F86">
      <w:pPr>
        <w:tabs>
          <w:tab w:val="left" w:pos="1418"/>
          <w:tab w:val="left" w:pos="4253"/>
        </w:tabs>
        <w:ind w:left="3402"/>
        <w:jc w:val="both"/>
        <w:rPr>
          <w:i/>
          <w:sz w:val="24"/>
          <w:szCs w:val="24"/>
          <w:shd w:val="clear" w:color="auto" w:fill="FFFFFF"/>
        </w:rPr>
      </w:pPr>
      <w:r w:rsidRPr="00035ABA">
        <w:rPr>
          <w:i/>
          <w:sz w:val="24"/>
          <w:szCs w:val="24"/>
          <w:shd w:val="clear" w:color="auto" w:fill="FFFFFF"/>
        </w:rPr>
        <w:t xml:space="preserve">II - </w:t>
      </w:r>
      <w:proofErr w:type="gramStart"/>
      <w:r w:rsidRPr="00035ABA">
        <w:rPr>
          <w:i/>
          <w:sz w:val="24"/>
          <w:szCs w:val="24"/>
          <w:shd w:val="clear" w:color="auto" w:fill="FFFFFF"/>
        </w:rPr>
        <w:t>para</w:t>
      </w:r>
      <w:proofErr w:type="gramEnd"/>
      <w:r w:rsidRPr="00035ABA">
        <w:rPr>
          <w:i/>
          <w:sz w:val="24"/>
          <w:szCs w:val="24"/>
          <w:shd w:val="clear" w:color="auto" w:fill="FFFFFF"/>
        </w:rPr>
        <w:t xml:space="preserve"> contratação que envolva valores inferiores a R$ 50.000,00 (cinquenta mil reais), no caso de outros serviços e compras;”</w:t>
      </w:r>
    </w:p>
    <w:p w14:paraId="285BF39C" w14:textId="77777777" w:rsidR="00372F86" w:rsidRPr="00035ABA" w:rsidRDefault="00372F86" w:rsidP="00372F86">
      <w:pPr>
        <w:ind w:left="3402"/>
        <w:jc w:val="both"/>
        <w:rPr>
          <w:i/>
          <w:iCs/>
          <w:sz w:val="24"/>
          <w:szCs w:val="24"/>
        </w:rPr>
      </w:pPr>
    </w:p>
    <w:p w14:paraId="6A9D7931" w14:textId="77777777" w:rsidR="00372F86" w:rsidRPr="00035ABA" w:rsidRDefault="00372F86" w:rsidP="00372F86">
      <w:pPr>
        <w:jc w:val="both"/>
        <w:rPr>
          <w:b/>
          <w:sz w:val="24"/>
          <w:szCs w:val="24"/>
        </w:rPr>
      </w:pPr>
      <w:r w:rsidRPr="00035ABA">
        <w:rPr>
          <w:b/>
          <w:sz w:val="24"/>
          <w:szCs w:val="24"/>
        </w:rPr>
        <w:t xml:space="preserve">Nas palavras do doutor Marçal </w:t>
      </w:r>
      <w:proofErr w:type="spellStart"/>
      <w:r w:rsidRPr="00035ABA">
        <w:rPr>
          <w:b/>
          <w:sz w:val="24"/>
          <w:szCs w:val="24"/>
        </w:rPr>
        <w:t>Justen</w:t>
      </w:r>
      <w:proofErr w:type="spellEnd"/>
      <w:r w:rsidRPr="00035ABA">
        <w:rPr>
          <w:b/>
          <w:sz w:val="24"/>
          <w:szCs w:val="24"/>
        </w:rPr>
        <w:t xml:space="preserve"> Filho (2004, p. 236) </w:t>
      </w:r>
      <w:r w:rsidRPr="00035ABA">
        <w:rPr>
          <w:rStyle w:val="Refdenotaderodap"/>
          <w:b/>
          <w:sz w:val="24"/>
          <w:szCs w:val="24"/>
        </w:rPr>
        <w:footnoteReference w:id="1"/>
      </w:r>
    </w:p>
    <w:p w14:paraId="363F3E9E" w14:textId="77777777" w:rsidR="00372F86" w:rsidRPr="00035ABA" w:rsidRDefault="00372F86" w:rsidP="00372F86">
      <w:pPr>
        <w:ind w:left="3402"/>
        <w:jc w:val="both"/>
        <w:rPr>
          <w:i/>
          <w:iCs/>
          <w:sz w:val="24"/>
          <w:szCs w:val="24"/>
        </w:rPr>
      </w:pPr>
      <w:r w:rsidRPr="00035ABA">
        <w:rPr>
          <w:i/>
          <w:iCs/>
          <w:sz w:val="24"/>
          <w:szCs w:val="24"/>
        </w:rPr>
        <w:t xml:space="preserve">“A pequena relevância econômica da contratação não justifica gastos com uma licitação comum. A distinção legislativa entre concorrência, tomada de preços e convite </w:t>
      </w:r>
      <w:r w:rsidRPr="00035ABA">
        <w:rPr>
          <w:i/>
          <w:iCs/>
          <w:sz w:val="24"/>
          <w:szCs w:val="24"/>
        </w:rPr>
        <w:lastRenderedPageBreak/>
        <w:t>se filia não só à dimensão econômica do contrato. A lei determinou que as formalidades prévias deverão ser proporcionais às peculiaridades do interesse e da necessidade pública. Por isso, tanto mais simples serão as formalidades e mais rápido o procedimento licitatório, quanto menor for o valor a ser despendido pela Administração Pública.”</w:t>
      </w:r>
    </w:p>
    <w:p w14:paraId="335209DE" w14:textId="77777777" w:rsidR="00372F86" w:rsidRPr="00035ABA" w:rsidRDefault="00372F86" w:rsidP="00372F86">
      <w:pPr>
        <w:jc w:val="both"/>
        <w:rPr>
          <w:sz w:val="24"/>
          <w:szCs w:val="24"/>
        </w:rPr>
      </w:pPr>
    </w:p>
    <w:p w14:paraId="6D5154A6" w14:textId="77777777" w:rsidR="00372F86" w:rsidRPr="00035ABA" w:rsidRDefault="00372F86" w:rsidP="00372F86">
      <w:pPr>
        <w:jc w:val="both"/>
        <w:rPr>
          <w:b/>
          <w:sz w:val="24"/>
          <w:szCs w:val="24"/>
          <w:u w:val="single"/>
        </w:rPr>
      </w:pPr>
      <w:r w:rsidRPr="00035ABA">
        <w:rPr>
          <w:b/>
          <w:sz w:val="24"/>
          <w:szCs w:val="24"/>
          <w:u w:val="single"/>
        </w:rPr>
        <w:t>RAZOES:</w:t>
      </w:r>
    </w:p>
    <w:p w14:paraId="64295DB0" w14:textId="77777777" w:rsidR="00372F86" w:rsidRPr="00035ABA" w:rsidRDefault="00372F86" w:rsidP="00372F86">
      <w:pPr>
        <w:jc w:val="both"/>
        <w:rPr>
          <w:b/>
          <w:sz w:val="24"/>
          <w:szCs w:val="24"/>
        </w:rPr>
      </w:pPr>
      <w:r w:rsidRPr="00035ABA">
        <w:rPr>
          <w:b/>
          <w:sz w:val="24"/>
          <w:szCs w:val="24"/>
          <w:u w:val="single"/>
        </w:rPr>
        <w:t>DA ESCOLHA DO FORNECEDOR</w:t>
      </w:r>
      <w:r w:rsidRPr="00035ABA">
        <w:rPr>
          <w:b/>
          <w:sz w:val="24"/>
          <w:szCs w:val="24"/>
        </w:rPr>
        <w:t>:</w:t>
      </w:r>
    </w:p>
    <w:p w14:paraId="21FC0CAB" w14:textId="77777777" w:rsidR="00372F86" w:rsidRPr="00035ABA" w:rsidRDefault="00372F86" w:rsidP="00372F86">
      <w:pPr>
        <w:jc w:val="both"/>
        <w:rPr>
          <w:noProof/>
          <w:sz w:val="24"/>
          <w:szCs w:val="24"/>
        </w:rPr>
      </w:pPr>
    </w:p>
    <w:p w14:paraId="5D7ECCE4" w14:textId="77777777" w:rsidR="00372F86" w:rsidRPr="00035ABA" w:rsidRDefault="00372F86" w:rsidP="00372F86">
      <w:pPr>
        <w:jc w:val="both"/>
        <w:rPr>
          <w:sz w:val="24"/>
          <w:szCs w:val="24"/>
        </w:rPr>
      </w:pPr>
      <w:r w:rsidRPr="00035ABA">
        <w:rPr>
          <w:noProof/>
          <w:sz w:val="24"/>
          <w:szCs w:val="24"/>
        </w:rPr>
        <w:t>Lei 14.133/21:</w:t>
      </w:r>
    </w:p>
    <w:p w14:paraId="64873FB0" w14:textId="77777777" w:rsidR="00372F86" w:rsidRPr="00035ABA" w:rsidRDefault="00372F86" w:rsidP="00372F86">
      <w:pPr>
        <w:tabs>
          <w:tab w:val="left" w:pos="1418"/>
          <w:tab w:val="left" w:pos="4253"/>
        </w:tabs>
        <w:ind w:left="3402"/>
        <w:jc w:val="both"/>
        <w:rPr>
          <w:i/>
          <w:sz w:val="24"/>
          <w:szCs w:val="24"/>
        </w:rPr>
      </w:pPr>
      <w:r w:rsidRPr="00035ABA">
        <w:rPr>
          <w:i/>
          <w:sz w:val="24"/>
          <w:szCs w:val="24"/>
        </w:rPr>
        <w:t xml:space="preserve">“Art. 72.  </w:t>
      </w:r>
      <w:r w:rsidRPr="00035ABA">
        <w:rPr>
          <w:i/>
          <w:iCs/>
          <w:sz w:val="24"/>
          <w:szCs w:val="24"/>
          <w:shd w:val="clear" w:color="auto" w:fill="FFFFFF"/>
        </w:rPr>
        <w:t>O processo de contratação direta, que compreende os casos de inexigibilidade e de dispensa de licitação, deverá ser instruído com os seguintes documentos</w:t>
      </w:r>
      <w:r w:rsidRPr="00035ABA">
        <w:rPr>
          <w:i/>
          <w:iCs/>
          <w:sz w:val="24"/>
          <w:szCs w:val="24"/>
        </w:rPr>
        <w:t>:</w:t>
      </w:r>
    </w:p>
    <w:p w14:paraId="33A31C41" w14:textId="77777777" w:rsidR="00372F86" w:rsidRPr="00035ABA" w:rsidRDefault="00372F86" w:rsidP="00372F86">
      <w:pPr>
        <w:tabs>
          <w:tab w:val="left" w:pos="1418"/>
          <w:tab w:val="left" w:pos="4253"/>
        </w:tabs>
        <w:ind w:left="3402"/>
        <w:jc w:val="both"/>
        <w:rPr>
          <w:i/>
          <w:sz w:val="24"/>
          <w:szCs w:val="24"/>
        </w:rPr>
      </w:pPr>
      <w:r w:rsidRPr="00035ABA">
        <w:rPr>
          <w:i/>
          <w:sz w:val="24"/>
          <w:szCs w:val="24"/>
        </w:rPr>
        <w:t>[...]</w:t>
      </w:r>
    </w:p>
    <w:p w14:paraId="137FB0E0" w14:textId="77777777" w:rsidR="00372F86" w:rsidRPr="00035ABA" w:rsidRDefault="00372F86" w:rsidP="00372F86">
      <w:pPr>
        <w:tabs>
          <w:tab w:val="left" w:pos="1418"/>
          <w:tab w:val="left" w:pos="4253"/>
        </w:tabs>
        <w:ind w:left="3402"/>
        <w:jc w:val="both"/>
        <w:rPr>
          <w:i/>
          <w:sz w:val="24"/>
          <w:szCs w:val="24"/>
          <w:shd w:val="clear" w:color="auto" w:fill="FFFFFF"/>
        </w:rPr>
      </w:pPr>
      <w:r w:rsidRPr="00035ABA">
        <w:rPr>
          <w:i/>
          <w:sz w:val="24"/>
          <w:szCs w:val="24"/>
          <w:shd w:val="clear" w:color="auto" w:fill="FFFFFF"/>
        </w:rPr>
        <w:t xml:space="preserve">VI – </w:t>
      </w:r>
      <w:proofErr w:type="gramStart"/>
      <w:r w:rsidRPr="00035ABA">
        <w:rPr>
          <w:i/>
          <w:sz w:val="24"/>
          <w:szCs w:val="24"/>
          <w:shd w:val="clear" w:color="auto" w:fill="FFFFFF"/>
        </w:rPr>
        <w:t>razão</w:t>
      </w:r>
      <w:proofErr w:type="gramEnd"/>
      <w:r w:rsidRPr="00035ABA">
        <w:rPr>
          <w:i/>
          <w:sz w:val="24"/>
          <w:szCs w:val="24"/>
          <w:shd w:val="clear" w:color="auto" w:fill="FFFFFF"/>
        </w:rPr>
        <w:t xml:space="preserve"> da escolha do contratado;”</w:t>
      </w:r>
    </w:p>
    <w:p w14:paraId="24B12AE3" w14:textId="77777777" w:rsidR="00372F86" w:rsidRPr="00035ABA" w:rsidRDefault="00372F86" w:rsidP="00372F86">
      <w:pPr>
        <w:tabs>
          <w:tab w:val="left" w:pos="1418"/>
          <w:tab w:val="left" w:pos="4253"/>
        </w:tabs>
        <w:ind w:left="3402"/>
        <w:jc w:val="both"/>
        <w:rPr>
          <w:i/>
          <w:sz w:val="24"/>
          <w:szCs w:val="24"/>
          <w:shd w:val="clear" w:color="auto" w:fill="FFFFFF"/>
        </w:rPr>
      </w:pPr>
    </w:p>
    <w:p w14:paraId="3BC71211" w14:textId="68901F1B" w:rsidR="00372F86" w:rsidRPr="00D35782" w:rsidRDefault="00372F86" w:rsidP="00372F86">
      <w:pPr>
        <w:tabs>
          <w:tab w:val="left" w:pos="2835"/>
        </w:tabs>
        <w:jc w:val="both"/>
        <w:rPr>
          <w:sz w:val="24"/>
          <w:szCs w:val="24"/>
        </w:rPr>
      </w:pPr>
      <w:r w:rsidRPr="00D35782">
        <w:rPr>
          <w:sz w:val="24"/>
          <w:szCs w:val="24"/>
        </w:rPr>
        <w:t xml:space="preserve">A escolha desta Administração Municipal para </w:t>
      </w:r>
      <w:r w:rsidRPr="00075CB2">
        <w:rPr>
          <w:sz w:val="24"/>
          <w:szCs w:val="24"/>
        </w:rPr>
        <w:t>a contratação de empresa para elaboração de projetos de mobilidade urbana, assessoria e consultoria técnica de engenharia por profissional devidamente qualificado para desenvolvimento de projetos de infraestrutura em área urbana e rural</w:t>
      </w:r>
      <w:r>
        <w:rPr>
          <w:sz w:val="24"/>
          <w:szCs w:val="24"/>
        </w:rPr>
        <w:t xml:space="preserve"> a empresa </w:t>
      </w:r>
      <w:r w:rsidR="004169C1">
        <w:rPr>
          <w:b/>
          <w:sz w:val="24"/>
          <w:szCs w:val="24"/>
        </w:rPr>
        <w:t>SAUTHIER &amp; ALIEVI LTDA</w:t>
      </w:r>
      <w:r w:rsidRPr="004169C1">
        <w:rPr>
          <w:bCs/>
          <w:sz w:val="24"/>
          <w:szCs w:val="24"/>
        </w:rPr>
        <w:t xml:space="preserve"> é</w:t>
      </w:r>
      <w:r w:rsidRPr="00A75772">
        <w:rPr>
          <w:color w:val="FF0000"/>
          <w:sz w:val="24"/>
          <w:szCs w:val="24"/>
        </w:rPr>
        <w:t xml:space="preserve"> </w:t>
      </w:r>
      <w:r w:rsidRPr="00D35782">
        <w:rPr>
          <w:sz w:val="24"/>
          <w:szCs w:val="24"/>
        </w:rPr>
        <w:t xml:space="preserve">porque dentre todos os orçamentos pedidos a empresa foi o menor valor proposto. </w:t>
      </w:r>
    </w:p>
    <w:p w14:paraId="5F0CFA94" w14:textId="77777777" w:rsidR="00372F86" w:rsidRPr="00D35782" w:rsidRDefault="00372F86" w:rsidP="00372F86">
      <w:pPr>
        <w:jc w:val="both"/>
        <w:rPr>
          <w:bCs/>
          <w:iCs/>
          <w:sz w:val="24"/>
          <w:szCs w:val="24"/>
        </w:rPr>
      </w:pPr>
    </w:p>
    <w:p w14:paraId="0FF5E8E5" w14:textId="77777777" w:rsidR="00372F86" w:rsidRPr="00035ABA" w:rsidRDefault="00372F86" w:rsidP="00372F86">
      <w:pPr>
        <w:jc w:val="both"/>
        <w:rPr>
          <w:b/>
          <w:sz w:val="24"/>
          <w:szCs w:val="24"/>
          <w:u w:val="single"/>
        </w:rPr>
      </w:pPr>
      <w:r w:rsidRPr="00035ABA">
        <w:rPr>
          <w:b/>
          <w:sz w:val="24"/>
          <w:szCs w:val="24"/>
          <w:u w:val="single"/>
        </w:rPr>
        <w:t>DO PREÇO:</w:t>
      </w:r>
    </w:p>
    <w:p w14:paraId="67F44699" w14:textId="77777777" w:rsidR="00372F86" w:rsidRPr="00035ABA" w:rsidRDefault="00372F86" w:rsidP="00372F86">
      <w:pPr>
        <w:jc w:val="both"/>
        <w:rPr>
          <w:sz w:val="24"/>
          <w:szCs w:val="24"/>
        </w:rPr>
      </w:pPr>
      <w:r w:rsidRPr="00035ABA">
        <w:rPr>
          <w:noProof/>
          <w:sz w:val="24"/>
          <w:szCs w:val="24"/>
        </w:rPr>
        <w:t>Lei 14.133/21:</w:t>
      </w:r>
    </w:p>
    <w:p w14:paraId="21453845" w14:textId="77777777" w:rsidR="00372F86" w:rsidRPr="00035ABA" w:rsidRDefault="00372F86" w:rsidP="00372F86">
      <w:pPr>
        <w:tabs>
          <w:tab w:val="left" w:pos="1418"/>
          <w:tab w:val="left" w:pos="4253"/>
        </w:tabs>
        <w:ind w:left="3402"/>
        <w:jc w:val="both"/>
        <w:rPr>
          <w:i/>
          <w:sz w:val="24"/>
          <w:szCs w:val="24"/>
        </w:rPr>
      </w:pPr>
      <w:r w:rsidRPr="00035ABA">
        <w:rPr>
          <w:i/>
          <w:sz w:val="24"/>
          <w:szCs w:val="24"/>
        </w:rPr>
        <w:t xml:space="preserve">“Art. 72.  </w:t>
      </w:r>
      <w:r w:rsidRPr="00035ABA">
        <w:rPr>
          <w:i/>
          <w:iCs/>
          <w:sz w:val="24"/>
          <w:szCs w:val="24"/>
          <w:shd w:val="clear" w:color="auto" w:fill="FFFFFF"/>
        </w:rPr>
        <w:t>O processo de contratação direta, que compreende os casos de inexigibilidade e de dispensa de licitação, deverá ser instruído com os seguintes documentos</w:t>
      </w:r>
      <w:r w:rsidRPr="00035ABA">
        <w:rPr>
          <w:i/>
          <w:iCs/>
          <w:sz w:val="24"/>
          <w:szCs w:val="24"/>
        </w:rPr>
        <w:t>:</w:t>
      </w:r>
    </w:p>
    <w:p w14:paraId="778C7CFD" w14:textId="77777777" w:rsidR="00372F86" w:rsidRPr="00035ABA" w:rsidRDefault="00372F86" w:rsidP="00372F86">
      <w:pPr>
        <w:tabs>
          <w:tab w:val="left" w:pos="1418"/>
          <w:tab w:val="left" w:pos="4253"/>
        </w:tabs>
        <w:ind w:left="3402"/>
        <w:jc w:val="both"/>
        <w:rPr>
          <w:i/>
          <w:sz w:val="24"/>
          <w:szCs w:val="24"/>
        </w:rPr>
      </w:pPr>
      <w:r w:rsidRPr="00035ABA">
        <w:rPr>
          <w:i/>
          <w:sz w:val="24"/>
          <w:szCs w:val="24"/>
        </w:rPr>
        <w:t>[...]</w:t>
      </w:r>
    </w:p>
    <w:p w14:paraId="63A3F284" w14:textId="77777777" w:rsidR="00372F86" w:rsidRPr="00035ABA" w:rsidRDefault="00372F86" w:rsidP="00372F86">
      <w:pPr>
        <w:tabs>
          <w:tab w:val="left" w:pos="1418"/>
          <w:tab w:val="left" w:pos="4253"/>
        </w:tabs>
        <w:ind w:left="3402"/>
        <w:jc w:val="both"/>
        <w:rPr>
          <w:i/>
          <w:sz w:val="24"/>
          <w:szCs w:val="24"/>
          <w:shd w:val="clear" w:color="auto" w:fill="FFFFFF"/>
        </w:rPr>
      </w:pPr>
      <w:r w:rsidRPr="00035ABA">
        <w:rPr>
          <w:i/>
          <w:sz w:val="24"/>
          <w:szCs w:val="24"/>
          <w:shd w:val="clear" w:color="auto" w:fill="FFFFFF"/>
        </w:rPr>
        <w:t>VII – justificativa de preço;”</w:t>
      </w:r>
    </w:p>
    <w:p w14:paraId="239B8E7E" w14:textId="77777777" w:rsidR="00372F86" w:rsidRPr="00035ABA" w:rsidRDefault="00372F86" w:rsidP="00372F86">
      <w:pPr>
        <w:tabs>
          <w:tab w:val="left" w:pos="1418"/>
          <w:tab w:val="left" w:pos="4253"/>
        </w:tabs>
        <w:ind w:left="3402"/>
        <w:jc w:val="both"/>
        <w:rPr>
          <w:i/>
          <w:sz w:val="24"/>
          <w:szCs w:val="24"/>
          <w:shd w:val="clear" w:color="auto" w:fill="FFFFFF"/>
        </w:rPr>
      </w:pPr>
    </w:p>
    <w:p w14:paraId="21B637C4" w14:textId="77777777" w:rsidR="00372F86" w:rsidRPr="00D35782" w:rsidRDefault="00372F86" w:rsidP="00372F86">
      <w:pPr>
        <w:jc w:val="both"/>
        <w:rPr>
          <w:sz w:val="24"/>
          <w:szCs w:val="24"/>
        </w:rPr>
      </w:pPr>
      <w:r w:rsidRPr="00D35782">
        <w:rPr>
          <w:noProof/>
          <w:sz w:val="24"/>
          <w:szCs w:val="24"/>
        </w:rPr>
        <w:t>E</w:t>
      </w:r>
      <w:r w:rsidRPr="00D35782">
        <w:rPr>
          <w:sz w:val="24"/>
          <w:szCs w:val="24"/>
        </w:rPr>
        <w:t>m relação ao preço ainda, verifica-se que os mesmos estão compatíveis com a realidade do mercado em se tratando de produto ou serviço similar, podendo a Administração realizar a contratação sem qualquer afronta à lei de regência dos certames licitatórios.</w:t>
      </w:r>
    </w:p>
    <w:p w14:paraId="66861253" w14:textId="77777777" w:rsidR="00372F86" w:rsidRPr="00D35782" w:rsidRDefault="00372F86" w:rsidP="00372F86">
      <w:pPr>
        <w:ind w:firstLine="1134"/>
        <w:jc w:val="both"/>
        <w:rPr>
          <w:sz w:val="24"/>
          <w:szCs w:val="24"/>
        </w:rPr>
      </w:pPr>
    </w:p>
    <w:p w14:paraId="4079D5DD" w14:textId="77777777" w:rsidR="00372F86" w:rsidRPr="00D35782" w:rsidRDefault="00372F86" w:rsidP="00372F86">
      <w:pPr>
        <w:ind w:firstLine="1134"/>
        <w:jc w:val="both"/>
        <w:rPr>
          <w:sz w:val="24"/>
          <w:szCs w:val="24"/>
        </w:rPr>
      </w:pPr>
    </w:p>
    <w:p w14:paraId="1D0E65B7" w14:textId="77777777" w:rsidR="00372F86" w:rsidRPr="00D35782" w:rsidRDefault="00372F86" w:rsidP="00372F86">
      <w:pPr>
        <w:jc w:val="both"/>
        <w:rPr>
          <w:b/>
          <w:sz w:val="24"/>
          <w:szCs w:val="24"/>
        </w:rPr>
      </w:pPr>
      <w:r w:rsidRPr="00D35782">
        <w:rPr>
          <w:b/>
          <w:sz w:val="24"/>
          <w:szCs w:val="24"/>
          <w:u w:val="single"/>
        </w:rPr>
        <w:t>JUSTIFICATIVA DA AQUISIÇÃO</w:t>
      </w:r>
      <w:r w:rsidRPr="00D35782">
        <w:rPr>
          <w:b/>
          <w:sz w:val="24"/>
          <w:szCs w:val="24"/>
        </w:rPr>
        <w:t>:</w:t>
      </w:r>
    </w:p>
    <w:p w14:paraId="4C60DC92" w14:textId="77777777" w:rsidR="00372F86" w:rsidRPr="00A75772" w:rsidRDefault="00372F86" w:rsidP="00372F86">
      <w:pPr>
        <w:jc w:val="both"/>
        <w:rPr>
          <w:b/>
          <w:color w:val="FF0000"/>
          <w:sz w:val="24"/>
          <w:szCs w:val="24"/>
        </w:rPr>
      </w:pPr>
    </w:p>
    <w:p w14:paraId="2707AD04" w14:textId="169D768C" w:rsidR="004169C1" w:rsidRPr="00F63914" w:rsidRDefault="004169C1" w:rsidP="004169C1">
      <w:pPr>
        <w:ind w:firstLine="708"/>
        <w:jc w:val="both"/>
        <w:rPr>
          <w:noProof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A </w:t>
      </w:r>
      <w:r w:rsidR="00372F86" w:rsidRPr="004169C1">
        <w:rPr>
          <w:rFonts w:eastAsia="Calibri"/>
          <w:bCs/>
          <w:sz w:val="24"/>
          <w:szCs w:val="24"/>
        </w:rPr>
        <w:t xml:space="preserve">Contratação de empresa </w:t>
      </w:r>
      <w:r w:rsidRPr="004169C1">
        <w:rPr>
          <w:rFonts w:eastAsia="Calibri"/>
          <w:bCs/>
          <w:sz w:val="24"/>
          <w:szCs w:val="24"/>
        </w:rPr>
        <w:t xml:space="preserve">para a aquisição parcelada de Equipamentos de informática para atender a demanda das secretarias municipais justifica-se </w:t>
      </w:r>
      <w:r>
        <w:rPr>
          <w:rFonts w:eastAsia="Calibri"/>
          <w:bCs/>
          <w:sz w:val="24"/>
          <w:szCs w:val="24"/>
        </w:rPr>
        <w:t xml:space="preserve">pelo fato </w:t>
      </w:r>
      <w:proofErr w:type="gramStart"/>
      <w:r>
        <w:rPr>
          <w:rFonts w:eastAsia="Calibri"/>
          <w:bCs/>
          <w:sz w:val="24"/>
          <w:szCs w:val="24"/>
        </w:rPr>
        <w:t>que  nos</w:t>
      </w:r>
      <w:proofErr w:type="gramEnd"/>
      <w:r>
        <w:rPr>
          <w:noProof/>
          <w:sz w:val="24"/>
          <w:szCs w:val="24"/>
        </w:rPr>
        <w:t xml:space="preserve"> </w:t>
      </w:r>
      <w:r w:rsidRPr="004169C1">
        <w:rPr>
          <w:noProof/>
          <w:sz w:val="24"/>
          <w:szCs w:val="24"/>
        </w:rPr>
        <w:t>últimos anos a informática tornou-se uma ferramenta fundamental para a execução dos serviços nas empresas públicas e privadas. No governo, boa parte dos processos de trabalho já opera em sistemas e informação. Além disso, os microcomputadores são amplamente utilizados para a operação das atividades</w:t>
      </w:r>
      <w:r w:rsidRPr="00F63914">
        <w:rPr>
          <w:noProof/>
          <w:sz w:val="24"/>
          <w:szCs w:val="24"/>
        </w:rPr>
        <w:t xml:space="preserve"> administrativas das unidades nos órgãos públicos e requer equipamentos com tecnologia avançada.</w:t>
      </w:r>
    </w:p>
    <w:p w14:paraId="6C8530CB" w14:textId="6F6BD37E" w:rsidR="004169C1" w:rsidRPr="00F63914" w:rsidRDefault="004169C1" w:rsidP="004169C1">
      <w:pPr>
        <w:ind w:firstLine="708"/>
        <w:jc w:val="both"/>
        <w:rPr>
          <w:noProof/>
          <w:sz w:val="24"/>
          <w:szCs w:val="24"/>
        </w:rPr>
      </w:pPr>
      <w:r w:rsidRPr="00F63914">
        <w:rPr>
          <w:noProof/>
          <w:sz w:val="24"/>
          <w:szCs w:val="24"/>
        </w:rPr>
        <w:lastRenderedPageBreak/>
        <w:t>Como acontece com a maioria das tecnologias, as estações de trabalho (desktops) e computadores portáteis (notebooks) sofrem um processo de depreciação natural que, associado ao avanço das tecnologias, imprime aos gestores a tomada de medidas que garantam a continuidade das informações de forma profícua. Estende-se nesse quesito também para monitores, impressoras, nobreaks e certificações.</w:t>
      </w:r>
    </w:p>
    <w:p w14:paraId="4CADBA61" w14:textId="77777777" w:rsidR="004169C1" w:rsidRDefault="004169C1" w:rsidP="004169C1">
      <w:pPr>
        <w:ind w:firstLine="708"/>
        <w:jc w:val="both"/>
        <w:rPr>
          <w:noProof/>
          <w:sz w:val="24"/>
          <w:szCs w:val="24"/>
        </w:rPr>
      </w:pPr>
      <w:r w:rsidRPr="00F63914">
        <w:rPr>
          <w:noProof/>
          <w:sz w:val="24"/>
          <w:szCs w:val="24"/>
        </w:rPr>
        <w:tab/>
        <w:t>A continuidade dos serviços é um dos atributos principais a ser levado em conta pelos gestores, tendo em vista que a interrupção da prestação dos serviços públicos causaria transtornos e, por reflexo, aos cidadãos.</w:t>
      </w:r>
    </w:p>
    <w:p w14:paraId="3FD404F6" w14:textId="77777777" w:rsidR="004169C1" w:rsidRPr="0060526C" w:rsidRDefault="004169C1" w:rsidP="004169C1">
      <w:pPr>
        <w:ind w:firstLine="708"/>
        <w:jc w:val="both"/>
        <w:rPr>
          <w:b/>
          <w:bCs/>
          <w:sz w:val="24"/>
          <w:szCs w:val="24"/>
        </w:rPr>
      </w:pPr>
    </w:p>
    <w:p w14:paraId="3AFAA4A2" w14:textId="43CF3685" w:rsidR="00372F86" w:rsidRPr="00377DC6" w:rsidRDefault="00372F86" w:rsidP="004169C1">
      <w:pPr>
        <w:pStyle w:val="Normal1"/>
        <w:ind w:firstLine="708"/>
        <w:jc w:val="both"/>
        <w:rPr>
          <w:rFonts w:ascii="Times New Roman" w:eastAsia="Calibri" w:hAnsi="Times New Roman" w:cs="Times New Roman"/>
          <w:bCs/>
        </w:rPr>
      </w:pPr>
    </w:p>
    <w:p w14:paraId="6AD1A1FE" w14:textId="77777777" w:rsidR="00372F86" w:rsidRDefault="00372F86" w:rsidP="00372F86">
      <w:pPr>
        <w:jc w:val="both"/>
        <w:rPr>
          <w:b/>
          <w:color w:val="FF0000"/>
          <w:sz w:val="24"/>
          <w:szCs w:val="24"/>
        </w:rPr>
      </w:pPr>
    </w:p>
    <w:p w14:paraId="07407248" w14:textId="77777777" w:rsidR="00372F86" w:rsidRPr="00A75772" w:rsidRDefault="00372F86" w:rsidP="00372F86">
      <w:pPr>
        <w:jc w:val="both"/>
        <w:rPr>
          <w:b/>
          <w:color w:val="FF0000"/>
          <w:sz w:val="24"/>
          <w:szCs w:val="24"/>
        </w:rPr>
      </w:pPr>
    </w:p>
    <w:p w14:paraId="4E6CE1F0" w14:textId="5AD9C936" w:rsidR="00372F86" w:rsidRPr="00A75772" w:rsidRDefault="00372F86" w:rsidP="00372F86">
      <w:pPr>
        <w:jc w:val="right"/>
        <w:rPr>
          <w:color w:val="FF0000"/>
          <w:sz w:val="24"/>
          <w:szCs w:val="24"/>
        </w:rPr>
      </w:pPr>
      <w:r w:rsidRPr="00A75772">
        <w:rPr>
          <w:noProof/>
          <w:color w:val="FF0000"/>
          <w:sz w:val="24"/>
          <w:szCs w:val="24"/>
        </w:rPr>
        <w:t xml:space="preserve"> </w:t>
      </w:r>
      <w:r w:rsidRPr="00A75772">
        <w:rPr>
          <w:color w:val="FF0000"/>
          <w:sz w:val="24"/>
          <w:szCs w:val="24"/>
        </w:rPr>
        <w:t xml:space="preserve"> </w:t>
      </w:r>
      <w:r w:rsidRPr="00A75772">
        <w:rPr>
          <w:noProof/>
          <w:color w:val="FF0000"/>
          <w:sz w:val="24"/>
          <w:szCs w:val="24"/>
        </w:rPr>
        <w:t xml:space="preserve">RONDA ALTA/RS, </w:t>
      </w:r>
      <w:r w:rsidR="004169C1">
        <w:rPr>
          <w:noProof/>
          <w:color w:val="FF0000"/>
          <w:sz w:val="24"/>
          <w:szCs w:val="24"/>
        </w:rPr>
        <w:t>08 de abril</w:t>
      </w:r>
      <w:r>
        <w:rPr>
          <w:noProof/>
          <w:color w:val="FF0000"/>
          <w:sz w:val="24"/>
          <w:szCs w:val="24"/>
        </w:rPr>
        <w:t xml:space="preserve"> de 2025</w:t>
      </w:r>
      <w:r w:rsidRPr="00A75772">
        <w:rPr>
          <w:noProof/>
          <w:color w:val="FF0000"/>
          <w:sz w:val="24"/>
          <w:szCs w:val="24"/>
        </w:rPr>
        <w:t>.</w:t>
      </w:r>
    </w:p>
    <w:p w14:paraId="42248D5A" w14:textId="77777777" w:rsidR="00372F86" w:rsidRPr="00A75772" w:rsidRDefault="00372F86" w:rsidP="00372F86">
      <w:pPr>
        <w:ind w:firstLine="1134"/>
        <w:jc w:val="center"/>
        <w:rPr>
          <w:color w:val="FF0000"/>
          <w:sz w:val="24"/>
          <w:szCs w:val="24"/>
        </w:rPr>
      </w:pPr>
    </w:p>
    <w:p w14:paraId="0F4F9562" w14:textId="77777777" w:rsidR="00372F86" w:rsidRPr="00A75772" w:rsidRDefault="00372F86" w:rsidP="00372F86">
      <w:pPr>
        <w:autoSpaceDE w:val="0"/>
        <w:autoSpaceDN w:val="0"/>
        <w:adjustRightInd w:val="0"/>
        <w:spacing w:line="240" w:lineRule="exact"/>
        <w:jc w:val="center"/>
        <w:rPr>
          <w:b/>
          <w:bCs/>
          <w:color w:val="FF0000"/>
          <w:sz w:val="24"/>
          <w:szCs w:val="24"/>
        </w:rPr>
      </w:pPr>
    </w:p>
    <w:p w14:paraId="7B22825A" w14:textId="77777777" w:rsidR="00372F86" w:rsidRPr="00A75772" w:rsidRDefault="00372F86" w:rsidP="00372F86">
      <w:pPr>
        <w:autoSpaceDE w:val="0"/>
        <w:autoSpaceDN w:val="0"/>
        <w:adjustRightInd w:val="0"/>
        <w:spacing w:line="240" w:lineRule="exact"/>
        <w:jc w:val="center"/>
        <w:rPr>
          <w:b/>
          <w:bCs/>
          <w:color w:val="FF0000"/>
          <w:sz w:val="24"/>
          <w:szCs w:val="24"/>
        </w:rPr>
      </w:pPr>
    </w:p>
    <w:p w14:paraId="75EFA7E9" w14:textId="77777777" w:rsidR="00372F86" w:rsidRPr="00C85F62" w:rsidRDefault="00372F86" w:rsidP="00372F86">
      <w:pPr>
        <w:tabs>
          <w:tab w:val="left" w:pos="1418"/>
          <w:tab w:val="left" w:pos="4253"/>
        </w:tabs>
        <w:rPr>
          <w:b/>
          <w:bCs/>
          <w:color w:val="FF0000"/>
          <w:sz w:val="24"/>
          <w:szCs w:val="24"/>
        </w:rPr>
      </w:pPr>
    </w:p>
    <w:p w14:paraId="0609812C" w14:textId="77777777" w:rsidR="00372F86" w:rsidRPr="00C85F62" w:rsidRDefault="00372F86" w:rsidP="00372F86">
      <w:pPr>
        <w:tabs>
          <w:tab w:val="left" w:pos="1418"/>
          <w:tab w:val="left" w:pos="4253"/>
        </w:tabs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Mateus Valduga Bosa</w:t>
      </w:r>
    </w:p>
    <w:p w14:paraId="35AD1B46" w14:textId="77777777" w:rsidR="00372F86" w:rsidRPr="00C85F62" w:rsidRDefault="00372F86" w:rsidP="00372F86">
      <w:pPr>
        <w:tabs>
          <w:tab w:val="left" w:pos="1418"/>
          <w:tab w:val="left" w:pos="4253"/>
        </w:tabs>
        <w:jc w:val="center"/>
        <w:rPr>
          <w:b/>
          <w:bCs/>
          <w:color w:val="FF0000"/>
          <w:sz w:val="24"/>
          <w:szCs w:val="24"/>
        </w:rPr>
      </w:pPr>
      <w:r w:rsidRPr="00C85F62">
        <w:rPr>
          <w:b/>
          <w:bCs/>
          <w:color w:val="FF0000"/>
          <w:sz w:val="24"/>
          <w:szCs w:val="24"/>
        </w:rPr>
        <w:t xml:space="preserve">Secretário de </w:t>
      </w:r>
      <w:r>
        <w:rPr>
          <w:b/>
          <w:bCs/>
          <w:color w:val="FF0000"/>
          <w:sz w:val="24"/>
          <w:szCs w:val="24"/>
        </w:rPr>
        <w:t>Administração e Governo</w:t>
      </w:r>
    </w:p>
    <w:p w14:paraId="4CFC1F4D" w14:textId="77777777" w:rsidR="00372F86" w:rsidRPr="00C85F62" w:rsidRDefault="00372F86" w:rsidP="00372F86">
      <w:pPr>
        <w:spacing w:after="200" w:line="276" w:lineRule="auto"/>
        <w:rPr>
          <w:b/>
          <w:bCs/>
          <w:color w:val="FF0000"/>
          <w:sz w:val="24"/>
          <w:szCs w:val="24"/>
        </w:rPr>
      </w:pPr>
    </w:p>
    <w:p w14:paraId="7F49A2C3" w14:textId="77777777" w:rsidR="00372F86" w:rsidRDefault="00372F86" w:rsidP="00372F8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46F61238" w14:textId="77777777" w:rsidR="00372F86" w:rsidRPr="00C85F62" w:rsidRDefault="00372F86" w:rsidP="00372F8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6925C017" w14:textId="77777777" w:rsidR="00372F86" w:rsidRPr="00C85F62" w:rsidRDefault="00372F86" w:rsidP="00372F8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85F62">
        <w:rPr>
          <w:b/>
          <w:bCs/>
          <w:sz w:val="24"/>
          <w:szCs w:val="24"/>
        </w:rPr>
        <w:t>MARCOS MIGUEL BEUX</w:t>
      </w:r>
    </w:p>
    <w:p w14:paraId="684712B6" w14:textId="77777777" w:rsidR="00372F86" w:rsidRPr="00C85F62" w:rsidRDefault="00372F86" w:rsidP="00372F86">
      <w:pPr>
        <w:jc w:val="center"/>
        <w:rPr>
          <w:b/>
          <w:bCs/>
          <w:sz w:val="24"/>
          <w:szCs w:val="24"/>
        </w:rPr>
      </w:pPr>
      <w:r w:rsidRPr="00C85F62">
        <w:rPr>
          <w:b/>
          <w:bCs/>
          <w:sz w:val="24"/>
          <w:szCs w:val="24"/>
        </w:rPr>
        <w:t>Prefeito Municipal</w:t>
      </w:r>
    </w:p>
    <w:bookmarkEnd w:id="0"/>
    <w:p w14:paraId="09A5C097" w14:textId="77777777" w:rsidR="00372F86" w:rsidRPr="00A75772" w:rsidRDefault="00372F86" w:rsidP="00372F86">
      <w:pPr>
        <w:spacing w:after="200" w:line="276" w:lineRule="auto"/>
        <w:rPr>
          <w:bCs/>
          <w:color w:val="FF0000"/>
          <w:sz w:val="24"/>
          <w:szCs w:val="24"/>
        </w:rPr>
      </w:pPr>
    </w:p>
    <w:p w14:paraId="64107987" w14:textId="77777777" w:rsidR="006A300B" w:rsidRDefault="006A300B"/>
    <w:sectPr w:rsidR="006A300B" w:rsidSect="00372F86">
      <w:headerReference w:type="default" r:id="rId6"/>
      <w:footerReference w:type="even" r:id="rId7"/>
      <w:footerReference w:type="default" r:id="rId8"/>
      <w:pgSz w:w="11900" w:h="16840"/>
      <w:pgMar w:top="1985" w:right="1134" w:bottom="1021" w:left="1701" w:header="113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298BB" w14:textId="77777777" w:rsidR="0087156A" w:rsidRDefault="0087156A" w:rsidP="00372F86">
      <w:r>
        <w:separator/>
      </w:r>
    </w:p>
  </w:endnote>
  <w:endnote w:type="continuationSeparator" w:id="0">
    <w:p w14:paraId="36795F54" w14:textId="77777777" w:rsidR="0087156A" w:rsidRDefault="0087156A" w:rsidP="0037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5769A" w14:textId="77777777" w:rsidR="00F3525D" w:rsidRDefault="00000000" w:rsidP="00DA019B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6083C09E" w14:textId="77777777" w:rsidR="00F3525D" w:rsidRDefault="00F3525D" w:rsidP="00DA019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E50FC" w14:textId="77777777" w:rsidR="00F3525D" w:rsidRDefault="00000000" w:rsidP="00DA019B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>
      <w:rPr>
        <w:rStyle w:val="Nmerodepgina"/>
        <w:rFonts w:eastAsiaTheme="majorEastAsia"/>
        <w:noProof/>
      </w:rPr>
      <w:t>3</w:t>
    </w:r>
    <w:r>
      <w:rPr>
        <w:rStyle w:val="Nmerodepgina"/>
        <w:rFonts w:eastAsiaTheme="majorEastAsia"/>
      </w:rPr>
      <w:fldChar w:fldCharType="end"/>
    </w:r>
  </w:p>
  <w:p w14:paraId="27359051" w14:textId="77777777" w:rsidR="00F3525D" w:rsidRDefault="00000000" w:rsidP="00F6663E">
    <w:pPr>
      <w:pStyle w:val="Rodap"/>
      <w:ind w:right="360"/>
      <w:jc w:val="center"/>
    </w:pPr>
    <w:r>
      <w:t>Município de Ronda Alta – RS</w:t>
    </w:r>
  </w:p>
  <w:p w14:paraId="4CEE32D1" w14:textId="77777777" w:rsidR="00F3525D" w:rsidRDefault="00000000" w:rsidP="00F6663E">
    <w:pPr>
      <w:pStyle w:val="Rodap"/>
      <w:ind w:right="360"/>
      <w:jc w:val="center"/>
    </w:pPr>
    <w:r>
      <w:t xml:space="preserve">Praça Mose Missio S/N - Fone: (54)3364-5900 – </w:t>
    </w:r>
    <w:hyperlink r:id="rId1" w:history="1">
      <w:r w:rsidRPr="00FC33D1">
        <w:rPr>
          <w:rStyle w:val="Hyperlink"/>
        </w:rPr>
        <w:t>www.rondaalta.rs.gov.br</w:t>
      </w:r>
    </w:hyperlink>
  </w:p>
  <w:p w14:paraId="69204906" w14:textId="77777777" w:rsidR="00F3525D" w:rsidRPr="00115FA0" w:rsidRDefault="00000000" w:rsidP="00F6663E">
    <w:pPr>
      <w:pStyle w:val="Rodap"/>
      <w:ind w:right="360"/>
      <w:jc w:val="center"/>
    </w:pPr>
    <w:r>
      <w:t>Centro Administrativo Dervile Luiz Fachini</w:t>
    </w:r>
  </w:p>
  <w:p w14:paraId="169E67DD" w14:textId="77777777" w:rsidR="00F3525D" w:rsidRPr="00115FA0" w:rsidRDefault="00F3525D" w:rsidP="00F6663E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74CB2" w14:textId="77777777" w:rsidR="0087156A" w:rsidRDefault="0087156A" w:rsidP="00372F86">
      <w:r>
        <w:separator/>
      </w:r>
    </w:p>
  </w:footnote>
  <w:footnote w:type="continuationSeparator" w:id="0">
    <w:p w14:paraId="6EF5F9C0" w14:textId="77777777" w:rsidR="0087156A" w:rsidRDefault="0087156A" w:rsidP="00372F86">
      <w:r>
        <w:continuationSeparator/>
      </w:r>
    </w:p>
  </w:footnote>
  <w:footnote w:id="1">
    <w:p w14:paraId="36DA069F" w14:textId="77777777" w:rsidR="00372F86" w:rsidRPr="00681323" w:rsidRDefault="00372F86" w:rsidP="00372F86">
      <w:pPr>
        <w:jc w:val="both"/>
      </w:pPr>
      <w:r>
        <w:rPr>
          <w:rStyle w:val="Refdenotaderodap"/>
        </w:rPr>
        <w:footnoteRef/>
      </w:r>
      <w:r w:rsidRPr="00681323">
        <w:t xml:space="preserve"> JUSTEN FILHO, MARÇAL. Comentários à Lei de Licitações e Contratos Administrativos. 10ª ed. São</w:t>
      </w:r>
      <w:r>
        <w:t xml:space="preserve"> </w:t>
      </w:r>
      <w:r w:rsidRPr="00681323">
        <w:t>Paulo: Dialética, 2004.</w:t>
      </w:r>
    </w:p>
    <w:p w14:paraId="653CCA37" w14:textId="77777777" w:rsidR="00372F86" w:rsidRPr="00141E72" w:rsidRDefault="00372F86" w:rsidP="00372F86">
      <w:pPr>
        <w:pStyle w:val="Textodenotaderodap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929E" w14:textId="77777777" w:rsidR="00F3525D" w:rsidRDefault="00F3525D" w:rsidP="00DA019B">
    <w:pPr>
      <w:pStyle w:val="Cabealho"/>
      <w:jc w:val="center"/>
      <w:rPr>
        <w:noProof/>
      </w:rPr>
    </w:pPr>
  </w:p>
  <w:p w14:paraId="2AD3B428" w14:textId="77777777" w:rsidR="00F3525D" w:rsidRDefault="00F3525D" w:rsidP="00DA019B">
    <w:pPr>
      <w:pStyle w:val="Cabealho"/>
      <w:jc w:val="center"/>
      <w:rPr>
        <w:noProof/>
      </w:rPr>
    </w:pPr>
  </w:p>
  <w:p w14:paraId="16B32692" w14:textId="77777777" w:rsidR="00F3525D" w:rsidRPr="00B97041" w:rsidRDefault="00000000" w:rsidP="00EF1C50">
    <w:pPr>
      <w:jc w:val="center"/>
      <w:rPr>
        <w:rFonts w:ascii="Arial Black" w:hAnsi="Arial Black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6AEC5F5" wp14:editId="09ED2AFD">
          <wp:simplePos x="0" y="0"/>
          <wp:positionH relativeFrom="column">
            <wp:posOffset>-344170</wp:posOffset>
          </wp:positionH>
          <wp:positionV relativeFrom="paragraph">
            <wp:posOffset>-138430</wp:posOffset>
          </wp:positionV>
          <wp:extent cx="697230" cy="8159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  <w:b/>
        <w:bCs/>
        <w:sz w:val="32"/>
        <w:szCs w:val="32"/>
      </w:rPr>
      <w:t xml:space="preserve">        </w:t>
    </w:r>
    <w:r w:rsidRPr="00B97041">
      <w:rPr>
        <w:rFonts w:ascii="Arial Black" w:hAnsi="Arial Black"/>
        <w:b/>
        <w:bCs/>
        <w:sz w:val="32"/>
        <w:szCs w:val="32"/>
      </w:rPr>
      <w:t>ESTADO DO RIO GRANDE DO SUL</w:t>
    </w:r>
  </w:p>
  <w:p w14:paraId="71DB5FD1" w14:textId="77777777" w:rsidR="00F3525D" w:rsidRPr="00EF1C50" w:rsidRDefault="00000000" w:rsidP="00EF1C50">
    <w:pPr>
      <w:jc w:val="center"/>
      <w:rPr>
        <w:rFonts w:ascii="Arial Black" w:hAnsi="Arial Black"/>
        <w:sz w:val="32"/>
        <w:szCs w:val="32"/>
      </w:rPr>
    </w:pPr>
    <w:r>
      <w:rPr>
        <w:rFonts w:ascii="Arial Black" w:hAnsi="Arial Black"/>
        <w:sz w:val="32"/>
        <w:szCs w:val="32"/>
      </w:rPr>
      <w:t xml:space="preserve">         </w:t>
    </w:r>
    <w:r w:rsidRPr="00B97041">
      <w:rPr>
        <w:rFonts w:ascii="Arial Black" w:hAnsi="Arial Black"/>
        <w:sz w:val="32"/>
        <w:szCs w:val="32"/>
      </w:rPr>
      <w:t>PREFEITURA MUNICIPAL DE RONDA ALTA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F86"/>
    <w:rsid w:val="000F580D"/>
    <w:rsid w:val="00372F86"/>
    <w:rsid w:val="004169C1"/>
    <w:rsid w:val="006A300B"/>
    <w:rsid w:val="0087156A"/>
    <w:rsid w:val="00A57C36"/>
    <w:rsid w:val="00C02A2F"/>
    <w:rsid w:val="00C85A4E"/>
    <w:rsid w:val="00DD0139"/>
    <w:rsid w:val="00F3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4093C"/>
  <w15:chartTrackingRefBased/>
  <w15:docId w15:val="{6337B575-AD90-402B-B04B-733BBC89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F8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72F8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2F8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72F8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2F8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2F8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72F8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2F8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72F8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2F8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72F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2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72F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72F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72F8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72F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72F8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72F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72F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72F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72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72F8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72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72F8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72F8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72F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72F8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72F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72F8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72F86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372F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72F86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372F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72F86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Nmerodepgina">
    <w:name w:val="page number"/>
    <w:basedOn w:val="Fontepargpadro"/>
    <w:rsid w:val="00372F86"/>
  </w:style>
  <w:style w:type="table" w:styleId="Tabelacomgrade">
    <w:name w:val="Table Grid"/>
    <w:basedOn w:val="Tabelanormal"/>
    <w:uiPriority w:val="39"/>
    <w:rsid w:val="00372F8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72F86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2F86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2F86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372F86"/>
    <w:rPr>
      <w:vertAlign w:val="superscript"/>
    </w:rPr>
  </w:style>
  <w:style w:type="paragraph" w:customStyle="1" w:styleId="Normal1">
    <w:name w:val="Normal1"/>
    <w:qFormat/>
    <w:rsid w:val="00372F86"/>
    <w:pPr>
      <w:suppressAutoHyphens/>
      <w:spacing w:after="0" w:line="100" w:lineRule="atLeast"/>
    </w:pPr>
    <w:rPr>
      <w:rFonts w:ascii="Verdana" w:eastAsia="DejaVu Sans" w:hAnsi="Verdana" w:cs="Verdan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ndaalt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1739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Ferronato</dc:creator>
  <cp:keywords/>
  <dc:description/>
  <cp:lastModifiedBy>Roger Ferronato</cp:lastModifiedBy>
  <cp:revision>2</cp:revision>
  <dcterms:created xsi:type="dcterms:W3CDTF">2025-04-08T14:32:00Z</dcterms:created>
  <dcterms:modified xsi:type="dcterms:W3CDTF">2025-04-08T17:31:00Z</dcterms:modified>
</cp:coreProperties>
</file>