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6B582" w14:textId="77777777" w:rsidR="00047652" w:rsidRDefault="00287B79">
      <w:pPr>
        <w:pStyle w:val="western"/>
        <w:spacing w:after="0" w:line="276" w:lineRule="auto"/>
        <w:jc w:val="center"/>
        <w:rPr>
          <w:rFonts w:ascii="Arial" w:hAnsi="Arial" w:cs="Arial"/>
          <w:color w:val="auto"/>
        </w:rPr>
      </w:pPr>
      <w:r>
        <w:rPr>
          <w:noProof/>
        </w:rPr>
        <w:drawing>
          <wp:anchor distT="0" distB="0" distL="0" distR="114300" simplePos="0" relativeHeight="2" behindDoc="0" locked="0" layoutInCell="0" allowOverlap="1" wp14:anchorId="0808649A" wp14:editId="45080F2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695325" cy="8191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auto"/>
        </w:rPr>
        <w:t>ESTADO DO RIO GRANDE DO SUL</w:t>
      </w:r>
    </w:p>
    <w:p w14:paraId="580DF9D1" w14:textId="77777777" w:rsidR="00047652" w:rsidRDefault="00287B79">
      <w:pPr>
        <w:pStyle w:val="western"/>
        <w:spacing w:before="280" w:after="0" w:line="276" w:lineRule="auto"/>
        <w:jc w:val="center"/>
        <w:rPr>
          <w:b/>
          <w:bCs/>
        </w:rPr>
      </w:pPr>
      <w:r>
        <w:rPr>
          <w:rFonts w:ascii="Arial" w:hAnsi="Arial" w:cs="Arial"/>
          <w:b/>
          <w:bCs/>
          <w:color w:val="auto"/>
        </w:rPr>
        <w:t>PREFEITURA MUNICIPAL DE RONDA ALTA</w:t>
      </w:r>
    </w:p>
    <w:p w14:paraId="2B35AC9B" w14:textId="77777777" w:rsidR="00047652" w:rsidRDefault="0004765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 w:cs="Arial"/>
          <w:b/>
        </w:rPr>
      </w:pPr>
    </w:p>
    <w:p w14:paraId="452B7C71" w14:textId="77777777" w:rsidR="00047652" w:rsidRDefault="00287B7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3051D57E" w14:textId="77777777" w:rsidR="00047652" w:rsidRDefault="0004765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Arial" w:hAnsi="Arial" w:cs="Arial"/>
        </w:rPr>
      </w:pPr>
    </w:p>
    <w:p w14:paraId="4E77FF77" w14:textId="77777777" w:rsidR="00047652" w:rsidRDefault="00287B7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PROCESSO ADMINISTRATIVO </w:t>
      </w:r>
    </w:p>
    <w:p w14:paraId="6C905703" w14:textId="77777777" w:rsidR="00047652" w:rsidRDefault="00287B7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Município de Ronda Alta</w:t>
      </w:r>
    </w:p>
    <w:p w14:paraId="786705AC" w14:textId="77777777" w:rsidR="00047652" w:rsidRDefault="00287B7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Secretaria Municipal de Educação e Desporto</w:t>
      </w:r>
    </w:p>
    <w:p w14:paraId="235193CB" w14:textId="77777777" w:rsidR="00047652" w:rsidRDefault="00287B7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Necessidade da Administração: contratação de empresa especializada em arbitragem de campeonato regional de futsal.</w:t>
      </w:r>
    </w:p>
    <w:p w14:paraId="0B9F936A" w14:textId="77777777" w:rsidR="00047652" w:rsidRDefault="00047652">
      <w:pPr>
        <w:spacing w:line="276" w:lineRule="auto"/>
        <w:jc w:val="both"/>
        <w:rPr>
          <w:rFonts w:ascii="Arial" w:hAnsi="Arial" w:cs="Arial"/>
        </w:rPr>
      </w:pPr>
    </w:p>
    <w:p w14:paraId="03E6F39F" w14:textId="77777777" w:rsidR="00047652" w:rsidRDefault="00047652">
      <w:pPr>
        <w:spacing w:line="276" w:lineRule="auto"/>
        <w:jc w:val="both"/>
        <w:rPr>
          <w:rFonts w:ascii="Arial" w:hAnsi="Arial" w:cs="Arial"/>
        </w:rPr>
      </w:pPr>
    </w:p>
    <w:p w14:paraId="4E1CD162" w14:textId="2D27E063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</w:rPr>
        <w:t xml:space="preserve">1. </w:t>
      </w:r>
      <w:r>
        <w:rPr>
          <w:rFonts w:ascii="Arial" w:hAnsi="Arial" w:cs="Arial"/>
          <w:b/>
          <w:color w:val="000000"/>
        </w:rPr>
        <w:t>DESCRIÇÃO DO OBJETO</w:t>
      </w:r>
    </w:p>
    <w:p w14:paraId="42998667" w14:textId="28C00D52" w:rsidR="00047652" w:rsidRDefault="00287B79">
      <w:pPr>
        <w:spacing w:line="276" w:lineRule="auto"/>
        <w:ind w:firstLine="68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Contratação de empresa especializada em arbitragem para jogos de competições na modalidade campeonato regional de futsal – </w:t>
      </w:r>
      <w:r w:rsidR="001D2909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ª Taça Sicredi de Futsal Regional, promovido pela Secretaria Municipal de Educação e Desporto, através do CMD e em parceria com o Sicredi, o campeonato será dividido em 3 categorias – Masculino Livre, Feminino e Veterano. O prazo de realização dos jogos do campeonato será no período de </w:t>
      </w:r>
      <w:r w:rsidR="001D2909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até setembro de 202</w:t>
      </w:r>
      <w:r w:rsidR="001D2909">
        <w:rPr>
          <w:rFonts w:ascii="Arial" w:hAnsi="Arial" w:cs="Arial"/>
        </w:rPr>
        <w:t>6</w:t>
      </w:r>
      <w:r>
        <w:rPr>
          <w:rFonts w:ascii="Arial" w:hAnsi="Arial" w:cs="Arial"/>
        </w:rPr>
        <w:t>. Os jogos serão realizados no turno da noite, nas terças-feiras e quintas-feiras, com início às 19 horas. O público envolvido com o evento será a comunidade em geral e municípios vizinhos.</w:t>
      </w:r>
    </w:p>
    <w:p w14:paraId="16C5E32E" w14:textId="77777777" w:rsidR="00047652" w:rsidRDefault="00047652">
      <w:pPr>
        <w:pStyle w:val="NormalWeb"/>
        <w:spacing w:before="280" w:after="280" w:line="276" w:lineRule="auto"/>
        <w:jc w:val="both"/>
        <w:rPr>
          <w:rFonts w:ascii="Arial" w:hAnsi="Arial" w:cs="Arial"/>
        </w:rPr>
      </w:pPr>
    </w:p>
    <w:tbl>
      <w:tblPr>
        <w:tblStyle w:val="Tabelacomgrade"/>
        <w:tblW w:w="9634" w:type="dxa"/>
        <w:tblLayout w:type="fixed"/>
        <w:tblLook w:val="04A0" w:firstRow="1" w:lastRow="0" w:firstColumn="1" w:lastColumn="0" w:noHBand="0" w:noVBand="1"/>
      </w:tblPr>
      <w:tblGrid>
        <w:gridCol w:w="956"/>
        <w:gridCol w:w="4879"/>
        <w:gridCol w:w="3799"/>
      </w:tblGrid>
      <w:tr w:rsidR="00047652" w14:paraId="274D42B1" w14:textId="77777777">
        <w:tc>
          <w:tcPr>
            <w:tcW w:w="956" w:type="dxa"/>
          </w:tcPr>
          <w:p w14:paraId="40A9134F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879" w:type="dxa"/>
          </w:tcPr>
          <w:p w14:paraId="31568EFF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3799" w:type="dxa"/>
          </w:tcPr>
          <w:p w14:paraId="60B8A98C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Número de jogos</w:t>
            </w:r>
          </w:p>
        </w:tc>
      </w:tr>
      <w:tr w:rsidR="00047652" w14:paraId="795E1DF0" w14:textId="77777777">
        <w:tc>
          <w:tcPr>
            <w:tcW w:w="956" w:type="dxa"/>
          </w:tcPr>
          <w:p w14:paraId="5A044A2E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!</w:t>
            </w:r>
          </w:p>
        </w:tc>
        <w:tc>
          <w:tcPr>
            <w:tcW w:w="4879" w:type="dxa"/>
          </w:tcPr>
          <w:p w14:paraId="719EA44B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Arbitragem para o Campeonato</w:t>
            </w:r>
          </w:p>
          <w:p w14:paraId="6E11CC6D" w14:textId="246F7CA0" w:rsidR="00047652" w:rsidRDefault="001D2909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87B79">
              <w:rPr>
                <w:rFonts w:ascii="Arial" w:hAnsi="Arial" w:cs="Arial"/>
              </w:rPr>
              <w:t>ª Taça Sicredi de Futsal Regional</w:t>
            </w:r>
          </w:p>
        </w:tc>
        <w:tc>
          <w:tcPr>
            <w:tcW w:w="3799" w:type="dxa"/>
          </w:tcPr>
          <w:p w14:paraId="3BDC631D" w14:textId="77777777" w:rsidR="00047652" w:rsidRDefault="00287B79">
            <w:pPr>
              <w:pStyle w:val="NormalWeb"/>
              <w:spacing w:before="280" w:after="280" w:line="276" w:lineRule="auto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79 jogos -</w:t>
            </w:r>
          </w:p>
          <w:p w14:paraId="10D33092" w14:textId="57D39377" w:rsidR="00047652" w:rsidRDefault="00287B79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5350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jogos Feminino </w:t>
            </w:r>
          </w:p>
          <w:p w14:paraId="10FB0D22" w14:textId="39BCAF3D" w:rsidR="00047652" w:rsidRDefault="0045350C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287B79">
              <w:rPr>
                <w:rFonts w:ascii="Arial" w:hAnsi="Arial" w:cs="Arial"/>
              </w:rPr>
              <w:t xml:space="preserve"> jogos Veterano </w:t>
            </w:r>
          </w:p>
          <w:p w14:paraId="66A0FAFE" w14:textId="77777777" w:rsidR="00047652" w:rsidRDefault="0045350C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287B79">
              <w:rPr>
                <w:rFonts w:ascii="Arial" w:hAnsi="Arial" w:cs="Arial"/>
              </w:rPr>
              <w:t xml:space="preserve"> jogos Livre Masculino</w:t>
            </w:r>
          </w:p>
          <w:p w14:paraId="0A339EC2" w14:textId="2784A0A0" w:rsidR="0045350C" w:rsidRDefault="0045350C">
            <w:pPr>
              <w:pStyle w:val="NormalWeb"/>
              <w:spacing w:before="280" w:after="28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AAF797F" w14:textId="77777777" w:rsidR="00047652" w:rsidRDefault="00047652">
      <w:pPr>
        <w:pStyle w:val="NormalWeb"/>
        <w:spacing w:before="280" w:after="280" w:line="276" w:lineRule="auto"/>
        <w:jc w:val="both"/>
        <w:rPr>
          <w:rFonts w:ascii="Arial" w:hAnsi="Arial" w:cs="Arial"/>
        </w:rPr>
      </w:pPr>
    </w:p>
    <w:p w14:paraId="28D4D9FA" w14:textId="0DDFEBB1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2. </w:t>
      </w:r>
      <w:r>
        <w:rPr>
          <w:rFonts w:ascii="Arial" w:hAnsi="Arial" w:cs="Arial"/>
          <w:b/>
        </w:rPr>
        <w:t>FUNDAMENTAÇÃO/JUSTIFICATIVA DA CONTRATAÇÃO</w:t>
      </w:r>
      <w:bookmarkStart w:id="0" w:name="bookmark=id.gjdgxs"/>
      <w:bookmarkEnd w:id="0"/>
    </w:p>
    <w:p w14:paraId="08BB0153" w14:textId="01367433" w:rsidR="00047652" w:rsidRDefault="00287B79">
      <w:pPr>
        <w:widowControl/>
        <w:suppressAutoHyphens w:val="0"/>
        <w:spacing w:line="276" w:lineRule="auto"/>
        <w:ind w:firstLine="68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 Secretaria Municipal de Educação e Desporto e o CMD acreditam fielmente que o esporte beneficia corpo e mente, que a prática desportiva pode auxiliar não apenas na execução técnica do esporte, mas também na construção da convivência, administração de conflitos, reconhecimento e aceitação das limitações, disciplina, trabalho em equipe e competitividade das pessoas de diferentes idades. Sendo assim, justifica-se a presente contratação tendo em vista a realização de Campeonato </w:t>
      </w:r>
      <w:r w:rsidR="0045350C">
        <w:rPr>
          <w:rFonts w:ascii="Arial" w:hAnsi="Arial" w:cs="Arial"/>
        </w:rPr>
        <w:t>2</w:t>
      </w:r>
      <w:r>
        <w:rPr>
          <w:rFonts w:ascii="Arial" w:hAnsi="Arial" w:cs="Arial"/>
        </w:rPr>
        <w:t>ª Taça Sicredi de Futsal Regional, o qual oportunizará incentivo a prática de esportes aos atletas do município e da regi</w:t>
      </w:r>
      <w:r>
        <w:rPr>
          <w:rFonts w:ascii="Arial" w:hAnsi="Arial" w:cs="Arial"/>
        </w:rPr>
        <w:lastRenderedPageBreak/>
        <w:t>ão. Para tanto é necessário que a Secretaria, através do CMD, forneça uma equipe de arbitragem que preste este serviço com excelência nos jogos do Campeonato</w:t>
      </w:r>
      <w:bookmarkStart w:id="1" w:name="_Hlk1323602521"/>
      <w:bookmarkStart w:id="2" w:name="_Hlk126649212"/>
      <w:bookmarkEnd w:id="1"/>
      <w:bookmarkEnd w:id="2"/>
      <w:r>
        <w:rPr>
          <w:rFonts w:ascii="Arial" w:hAnsi="Arial" w:cs="Arial"/>
        </w:rPr>
        <w:t xml:space="preserve"> da 1ª Taça Sicredi de Futsal Regional.</w:t>
      </w:r>
    </w:p>
    <w:p w14:paraId="092E74CB" w14:textId="77777777" w:rsidR="00047652" w:rsidRDefault="00047652">
      <w:pPr>
        <w:pStyle w:val="NormalWeb"/>
        <w:spacing w:before="280" w:after="280" w:line="276" w:lineRule="auto"/>
        <w:jc w:val="both"/>
        <w:rPr>
          <w:rFonts w:ascii="Arial" w:hAnsi="Arial" w:cs="Arial"/>
        </w:rPr>
      </w:pPr>
    </w:p>
    <w:p w14:paraId="56434698" w14:textId="577A6776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</w:rPr>
        <w:t xml:space="preserve"> DESCRIÇÃO </w:t>
      </w:r>
      <w:r>
        <w:rPr>
          <w:rFonts w:ascii="Arial" w:hAnsi="Arial" w:cs="Arial"/>
          <w:b/>
          <w:color w:val="000000"/>
        </w:rPr>
        <w:t>DA SOLUÇÃO COMO UM TODO</w:t>
      </w:r>
    </w:p>
    <w:p w14:paraId="6DF80D8F" w14:textId="77777777" w:rsidR="00047652" w:rsidRDefault="00287B79">
      <w:pPr>
        <w:spacing w:line="276" w:lineRule="auto"/>
        <w:ind w:firstLine="6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Considerando o conjunto de todos os elementos de forma integrada que compõem o presente Termo de Referência, se espera que a solução pretendida atenda de forma eficiente e eficaz todas as necessidades da demanda, que consiste na arbitragem para o Campeonato da 1ª Taça Sicredi de Futsal Regional. A elaboração da escala de arbitragem é de inteira responsabilidade da empresa vencedora do certame, que deverá observar as normas previstas no regulamento do respectivo campeonato. A escala de arbitragem será entregue pelo representante legal da empresa contratada na sede da Secretaria Municipal de Educação e Desporto, situada na Praça </w:t>
      </w:r>
      <w:proofErr w:type="spellStart"/>
      <w:r>
        <w:rPr>
          <w:rFonts w:ascii="Arial" w:hAnsi="Arial" w:cs="Arial"/>
          <w:color w:val="000000"/>
        </w:rPr>
        <w:t>Mose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Míssio</w:t>
      </w:r>
      <w:proofErr w:type="spellEnd"/>
      <w:r>
        <w:rPr>
          <w:rFonts w:ascii="Arial" w:hAnsi="Arial" w:cs="Arial"/>
          <w:color w:val="000000"/>
        </w:rPr>
        <w:t xml:space="preserve">, centro, Ronda Alta/RS. Na escala deverão constar, obrigatoriamente, os nomes completos dos árbitros e árbitros assistentes, que atuarão em cada evento. A arbitragem será composta por 1 árbitro, 2 assistentes e 1 mesário por jogo. Os árbitros e auxiliares que atuarão no jogo deverão estar presentes no dia designado para a partida em que atuarão com, no mínimo, 30 (trinta) minutos de antecedência ao horário previsto na tabela para início do jogo. Constatado pela Secretaria Municipal de Educação e Desporto e CMD, através de laudo, que os serviços se encontram em desacordo com o Edital, após contraditório da contratada, os serviços serão interrompidos, podendo culminar na rescisão do contrato, independentemente da aplicação das sanções previstas em lei. Todas as despesas e encargos com funcionários, transporte e alimentação será de exclusiva responsabilidade da contratada. Todas as ordens no decorrer da execução dos serviços deverão ser dadas expressamente pela Secretária Municipal de Educação e Desporto e pelo Coordenador do CMD. Estarão a cargo da empresa vencedora todas as despesas de impressão, frete de envio dos materiais relacionados, passagens, estadias e alimentação dos profissionais que executarão os serviços, encargos </w:t>
      </w:r>
      <w:r>
        <w:rPr>
          <w:rFonts w:ascii="Arial" w:hAnsi="Arial" w:cs="Arial"/>
          <w:color w:val="000000"/>
        </w:rPr>
        <w:tab/>
        <w:t xml:space="preserve">trabalhistas, </w:t>
      </w:r>
      <w:r>
        <w:rPr>
          <w:rFonts w:ascii="Arial" w:hAnsi="Arial" w:cs="Arial"/>
          <w:color w:val="000000"/>
        </w:rPr>
        <w:tab/>
        <w:t xml:space="preserve">previdenciários, fiscais e comerciais, taxas e tributos que incidirem sobre os serviços. </w:t>
      </w:r>
    </w:p>
    <w:p w14:paraId="602D06B5" w14:textId="77777777" w:rsidR="00047652" w:rsidRDefault="00047652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3A672CFD" w14:textId="77777777" w:rsidR="00047652" w:rsidRDefault="00047652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2335BA95" w14:textId="77777777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4. GESTÃO E FISCALIZAÇÃO DE CONTRATO:</w:t>
      </w:r>
    </w:p>
    <w:p w14:paraId="5F43A358" w14:textId="39C475B4" w:rsidR="00047652" w:rsidRDefault="00287B79">
      <w:pPr>
        <w:spacing w:line="276" w:lineRule="auto"/>
        <w:ind w:firstLine="6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gestor indicado deverá ser </w:t>
      </w:r>
      <w:r w:rsidR="00CD342D">
        <w:rPr>
          <w:rFonts w:ascii="Arial" w:hAnsi="Arial" w:cs="Arial"/>
          <w:color w:val="000000"/>
        </w:rPr>
        <w:t>a Representante da Secretaria Municipal de Educação</w:t>
      </w:r>
      <w:r>
        <w:rPr>
          <w:rFonts w:ascii="Arial" w:hAnsi="Arial" w:cs="Arial"/>
          <w:color w:val="000000"/>
        </w:rPr>
        <w:t xml:space="preserve"> Sra. Andréia Scarpin </w:t>
      </w:r>
      <w:proofErr w:type="spellStart"/>
      <w:r>
        <w:rPr>
          <w:rFonts w:ascii="Arial" w:hAnsi="Arial" w:cs="Arial"/>
          <w:color w:val="000000"/>
        </w:rPr>
        <w:t>Noetzold</w:t>
      </w:r>
      <w:proofErr w:type="spellEnd"/>
      <w:r>
        <w:rPr>
          <w:rFonts w:ascii="Arial" w:hAnsi="Arial" w:cs="Arial"/>
          <w:color w:val="000000"/>
        </w:rPr>
        <w:t xml:space="preserve">, matrícula 565-7 e como fiscalizador do contrato será o Coordenador do CMD Sr. Edvan </w:t>
      </w:r>
      <w:proofErr w:type="spellStart"/>
      <w:r>
        <w:rPr>
          <w:rFonts w:ascii="Arial" w:hAnsi="Arial" w:cs="Arial"/>
          <w:color w:val="000000"/>
        </w:rPr>
        <w:t>Scariot</w:t>
      </w:r>
      <w:proofErr w:type="spellEnd"/>
      <w:r>
        <w:rPr>
          <w:rFonts w:ascii="Arial" w:hAnsi="Arial" w:cs="Arial"/>
          <w:color w:val="000000"/>
        </w:rPr>
        <w:t xml:space="preserve"> Sartori, matrícula 125-8.  </w:t>
      </w:r>
    </w:p>
    <w:p w14:paraId="40DE502B" w14:textId="77777777" w:rsidR="00047652" w:rsidRDefault="00047652">
      <w:pPr>
        <w:spacing w:line="360" w:lineRule="auto"/>
        <w:ind w:firstLine="680"/>
        <w:jc w:val="both"/>
        <w:rPr>
          <w:rFonts w:ascii="Arial" w:hAnsi="Arial" w:cs="Arial"/>
          <w:color w:val="000000"/>
        </w:rPr>
      </w:pPr>
    </w:p>
    <w:p w14:paraId="2BB65C5C" w14:textId="77777777" w:rsidR="00047652" w:rsidRDefault="00047652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0E020DFE" w14:textId="77777777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5. CRITÉRIOS DE MEDIÇÃO E PAGAMENTO:</w:t>
      </w:r>
    </w:p>
    <w:p w14:paraId="7FDF7135" w14:textId="77777777" w:rsidR="00047652" w:rsidRDefault="00287B79">
      <w:pPr>
        <w:spacing w:line="276" w:lineRule="auto"/>
        <w:ind w:firstLine="6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pagamento será realizado mediante apresentação de documento fiscal, o qual será recebido e atestado pelo fiscalizador e se tudo estiver em acordo com o pactuado haverá o encaminhamento para procedimento de liquidação e pagamento. </w:t>
      </w:r>
    </w:p>
    <w:p w14:paraId="3A06F757" w14:textId="77777777" w:rsidR="00047652" w:rsidRDefault="00047652">
      <w:pPr>
        <w:spacing w:line="360" w:lineRule="auto"/>
        <w:ind w:firstLine="680"/>
        <w:jc w:val="both"/>
        <w:rPr>
          <w:rFonts w:ascii="Arial" w:hAnsi="Arial" w:cs="Arial"/>
          <w:color w:val="000000"/>
        </w:rPr>
      </w:pPr>
    </w:p>
    <w:p w14:paraId="384B8C76" w14:textId="77777777" w:rsidR="00047652" w:rsidRDefault="00047652">
      <w:pPr>
        <w:spacing w:line="360" w:lineRule="auto"/>
        <w:ind w:firstLine="680"/>
        <w:jc w:val="both"/>
        <w:rPr>
          <w:rFonts w:ascii="Arial" w:hAnsi="Arial" w:cs="Arial"/>
          <w:color w:val="000000"/>
        </w:rPr>
      </w:pPr>
    </w:p>
    <w:p w14:paraId="45586C20" w14:textId="77777777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6. FORMA E CRITÉRIOS DE AVALIAÇÃO DO FORNECEDOR:</w:t>
      </w:r>
    </w:p>
    <w:p w14:paraId="6C38D89F" w14:textId="77777777" w:rsidR="00047652" w:rsidRDefault="00287B79">
      <w:pPr>
        <w:spacing w:line="360" w:lineRule="auto"/>
        <w:ind w:firstLine="68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O critério de julgamento para escolha do fornecedor deverá ser o menor preço global. </w:t>
      </w:r>
    </w:p>
    <w:p w14:paraId="5BDB3329" w14:textId="77777777" w:rsidR="00047652" w:rsidRDefault="00047652">
      <w:pPr>
        <w:spacing w:line="360" w:lineRule="auto"/>
        <w:ind w:left="680" w:hanging="680"/>
        <w:jc w:val="both"/>
        <w:rPr>
          <w:rFonts w:ascii="Arial" w:hAnsi="Arial" w:cs="Arial"/>
          <w:b/>
          <w:color w:val="000000"/>
        </w:rPr>
      </w:pPr>
    </w:p>
    <w:p w14:paraId="03469F37" w14:textId="77777777" w:rsidR="00047652" w:rsidRDefault="00047652">
      <w:pPr>
        <w:spacing w:line="360" w:lineRule="auto"/>
        <w:ind w:left="680" w:hanging="680"/>
        <w:jc w:val="both"/>
        <w:rPr>
          <w:rFonts w:ascii="Arial" w:hAnsi="Arial" w:cs="Arial"/>
          <w:b/>
          <w:color w:val="000000"/>
        </w:rPr>
      </w:pPr>
    </w:p>
    <w:p w14:paraId="4756A2FF" w14:textId="77777777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color w:val="000000"/>
        </w:rPr>
      </w:pPr>
      <w:r>
        <w:rPr>
          <w:rFonts w:ascii="Arial" w:hAnsi="Arial" w:cs="Arial"/>
          <w:b/>
          <w:color w:val="000000"/>
        </w:rPr>
        <w:t>7. ESTIMATIVA DO VALOR DA CONTRATAÇÃO:</w:t>
      </w:r>
      <w:bookmarkStart w:id="3" w:name="bookmark=id.3znysh7"/>
      <w:bookmarkEnd w:id="3"/>
    </w:p>
    <w:p w14:paraId="61B7FC4F" w14:textId="0BB86FC2" w:rsidR="00047652" w:rsidRDefault="00287B79">
      <w:pPr>
        <w:spacing w:line="276" w:lineRule="auto"/>
        <w:ind w:firstLine="680"/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O valor total estimado para a presente </w:t>
      </w:r>
      <w:r w:rsidR="001A5C31">
        <w:rPr>
          <w:rFonts w:ascii="Arial" w:hAnsi="Arial" w:cs="Arial"/>
          <w:color w:val="000000"/>
        </w:rPr>
        <w:t>contratação</w:t>
      </w:r>
      <w:r>
        <w:rPr>
          <w:rFonts w:ascii="Arial" w:hAnsi="Arial" w:cs="Arial"/>
          <w:color w:val="000000"/>
        </w:rPr>
        <w:t xml:space="preserve"> é de R$ 2</w:t>
      </w:r>
      <w:r w:rsidR="001A5C31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0,00 o jogo, totalizando </w:t>
      </w:r>
      <w:r w:rsidR="001A5C31">
        <w:rPr>
          <w:rFonts w:ascii="Arial" w:hAnsi="Arial" w:cs="Arial"/>
          <w:color w:val="000000"/>
        </w:rPr>
        <w:t>até 45</w:t>
      </w:r>
      <w:r>
        <w:rPr>
          <w:rFonts w:ascii="Arial" w:hAnsi="Arial" w:cs="Arial"/>
          <w:color w:val="000000"/>
        </w:rPr>
        <w:t xml:space="preserve"> jogos no montante de R$ 1</w:t>
      </w:r>
      <w:r w:rsidR="001A5C31">
        <w:rPr>
          <w:rFonts w:ascii="Arial" w:hAnsi="Arial" w:cs="Arial"/>
          <w:color w:val="000000"/>
        </w:rPr>
        <w:t>1.700,</w:t>
      </w:r>
      <w:r>
        <w:rPr>
          <w:rFonts w:ascii="Arial" w:hAnsi="Arial" w:cs="Arial"/>
          <w:color w:val="000000"/>
        </w:rPr>
        <w:t>00. Tendo como base a pesquisa de preços realizada pel</w:t>
      </w:r>
      <w:r w:rsidR="001A5C31">
        <w:rPr>
          <w:rFonts w:ascii="Arial" w:hAnsi="Arial" w:cs="Arial"/>
          <w:color w:val="000000"/>
        </w:rPr>
        <w:t>o CMD.</w:t>
      </w:r>
    </w:p>
    <w:p w14:paraId="6A575437" w14:textId="77777777" w:rsidR="00047652" w:rsidRDefault="00047652">
      <w:pPr>
        <w:spacing w:line="360" w:lineRule="auto"/>
        <w:ind w:left="680"/>
        <w:jc w:val="both"/>
        <w:rPr>
          <w:rFonts w:ascii="Arial" w:hAnsi="Arial" w:cs="Arial"/>
          <w:color w:val="000000"/>
        </w:rPr>
      </w:pPr>
    </w:p>
    <w:p w14:paraId="3346A2F0" w14:textId="77777777" w:rsidR="00047652" w:rsidRDefault="00047652">
      <w:pPr>
        <w:spacing w:line="360" w:lineRule="auto"/>
        <w:ind w:left="680"/>
        <w:jc w:val="both"/>
        <w:rPr>
          <w:rFonts w:ascii="Arial" w:hAnsi="Arial" w:cs="Arial"/>
          <w:color w:val="000000"/>
        </w:rPr>
      </w:pPr>
    </w:p>
    <w:p w14:paraId="37E5ACAD" w14:textId="77777777" w:rsidR="00047652" w:rsidRDefault="00287B79">
      <w:pPr>
        <w:widowControl/>
        <w:suppressAutoHyphens w:val="0"/>
        <w:spacing w:line="360" w:lineRule="auto"/>
        <w:ind w:left="1040" w:hanging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DOTAÇÃO ORÇAMENTÁRIA:</w:t>
      </w:r>
    </w:p>
    <w:p w14:paraId="011E3A60" w14:textId="77777777" w:rsidR="00047652" w:rsidRDefault="00287B79">
      <w:pPr>
        <w:spacing w:line="360" w:lineRule="auto"/>
        <w:ind w:firstLine="6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presente compra utilizará as seguintes dotações orçamentárias: </w:t>
      </w:r>
    </w:p>
    <w:p w14:paraId="6E9AEF32" w14:textId="670E5D8D" w:rsidR="00047652" w:rsidRDefault="001D2909">
      <w:pPr>
        <w:spacing w:line="360" w:lineRule="auto"/>
        <w:ind w:left="680" w:firstLine="29"/>
        <w:jc w:val="both"/>
        <w:rPr>
          <w:rFonts w:ascii="Arial" w:hAnsi="Arial" w:cs="Arial"/>
          <w:color w:val="000000"/>
        </w:rPr>
      </w:pPr>
      <w:r w:rsidRPr="001D2909">
        <w:rPr>
          <w:rFonts w:ascii="Arial" w:hAnsi="Arial" w:cs="Arial"/>
          <w:color w:val="000000"/>
        </w:rPr>
        <w:t>0705 27 812 0068 2035 339039 05 00 00 00 1500</w:t>
      </w:r>
    </w:p>
    <w:p w14:paraId="48D74E12" w14:textId="77777777" w:rsidR="00047652" w:rsidRDefault="00047652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6DADA97" w14:textId="77777777" w:rsidR="00047652" w:rsidRDefault="00047652">
      <w:pPr>
        <w:spacing w:line="360" w:lineRule="auto"/>
        <w:ind w:left="680" w:firstLine="29"/>
        <w:jc w:val="both"/>
        <w:rPr>
          <w:rFonts w:ascii="Arial" w:hAnsi="Arial" w:cs="Arial"/>
        </w:rPr>
      </w:pPr>
    </w:p>
    <w:p w14:paraId="1500825D" w14:textId="5064D499" w:rsidR="00047652" w:rsidRDefault="00287B79">
      <w:pPr>
        <w:spacing w:line="360" w:lineRule="auto"/>
        <w:ind w:left="5720" w:firstLine="4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Ronda Alta, </w:t>
      </w:r>
      <w:r w:rsidR="001A5C31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</w:t>
      </w:r>
      <w:r w:rsidR="001A5C31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de 202</w:t>
      </w:r>
      <w:r w:rsidR="001A5C3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4F95E368" w14:textId="77777777" w:rsidR="00047652" w:rsidRDefault="00047652">
      <w:pPr>
        <w:spacing w:line="360" w:lineRule="auto"/>
        <w:ind w:left="680" w:hanging="680"/>
        <w:jc w:val="both"/>
        <w:rPr>
          <w:rFonts w:ascii="Arial" w:hAnsi="Arial" w:cs="Arial"/>
        </w:rPr>
      </w:pPr>
    </w:p>
    <w:p w14:paraId="4441DA68" w14:textId="77777777" w:rsidR="00047652" w:rsidRDefault="00047652">
      <w:pPr>
        <w:spacing w:line="360" w:lineRule="auto"/>
        <w:ind w:left="680" w:hanging="680"/>
        <w:jc w:val="both"/>
        <w:rPr>
          <w:rFonts w:ascii="Arial" w:hAnsi="Arial" w:cs="Arial"/>
        </w:rPr>
      </w:pPr>
    </w:p>
    <w:p w14:paraId="2D64A884" w14:textId="77777777" w:rsidR="00047652" w:rsidRDefault="00047652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09A1968A" w14:textId="77777777" w:rsidR="00047652" w:rsidRDefault="00287B7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1718E3A8" w14:textId="77777777" w:rsidR="00047652" w:rsidRDefault="00287B7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Andréia Scarpin </w:t>
      </w:r>
      <w:proofErr w:type="spellStart"/>
      <w:r>
        <w:rPr>
          <w:rFonts w:ascii="Arial" w:hAnsi="Arial" w:cs="Arial"/>
        </w:rPr>
        <w:t>Noetzold</w:t>
      </w:r>
      <w:proofErr w:type="spellEnd"/>
      <w:r>
        <w:rPr>
          <w:rFonts w:ascii="Arial" w:hAnsi="Arial" w:cs="Arial"/>
        </w:rPr>
        <w:t xml:space="preserve"> – 565-7</w:t>
      </w:r>
    </w:p>
    <w:p w14:paraId="30E26E5D" w14:textId="45724605" w:rsidR="00047652" w:rsidRDefault="001A5C3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Representante da </w:t>
      </w:r>
      <w:r w:rsidR="00287B79">
        <w:rPr>
          <w:rFonts w:ascii="Arial" w:hAnsi="Arial" w:cs="Arial"/>
        </w:rPr>
        <w:t>Secret</w:t>
      </w:r>
      <w:r>
        <w:rPr>
          <w:rFonts w:ascii="Arial" w:hAnsi="Arial" w:cs="Arial"/>
        </w:rPr>
        <w:t>a</w:t>
      </w:r>
      <w:r w:rsidR="00287B79">
        <w:rPr>
          <w:rFonts w:ascii="Arial" w:hAnsi="Arial" w:cs="Arial"/>
        </w:rPr>
        <w:t>ria Municipal de Educação e Desporto</w:t>
      </w:r>
    </w:p>
    <w:p w14:paraId="79B0A073" w14:textId="77777777" w:rsidR="00047652" w:rsidRDefault="00047652">
      <w:pPr>
        <w:spacing w:after="200" w:line="276" w:lineRule="auto"/>
        <w:rPr>
          <w:rFonts w:ascii="Arial" w:hAnsi="Arial" w:cs="Arial"/>
          <w:color w:val="FF0000"/>
        </w:rPr>
      </w:pPr>
    </w:p>
    <w:sectPr w:rsidR="00047652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652"/>
    <w:rsid w:val="00047652"/>
    <w:rsid w:val="001A5C31"/>
    <w:rsid w:val="001D2909"/>
    <w:rsid w:val="00287B79"/>
    <w:rsid w:val="0045350C"/>
    <w:rsid w:val="004D54E4"/>
    <w:rsid w:val="00991987"/>
    <w:rsid w:val="00CD342D"/>
    <w:rsid w:val="00D53CB1"/>
    <w:rsid w:val="00F64EF6"/>
    <w:rsid w:val="00F91BFC"/>
    <w:rsid w:val="00FE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2D5B"/>
  <w15:docId w15:val="{757839BB-6838-40D7-B6D0-DB9D2A2E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6F5"/>
    <w:pPr>
      <w:widowControl w:val="0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7C1BA7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BA7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BA7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 w:bidi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BA7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2"/>
      <w:szCs w:val="22"/>
      <w:lang w:eastAsia="en-US" w:bidi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BA7"/>
    <w:pPr>
      <w:keepNext/>
      <w:keepLines/>
      <w:widowControl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 w:val="22"/>
      <w:szCs w:val="22"/>
      <w:lang w:eastAsia="en-US" w:bidi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BA7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en-US" w:bidi="ar-SA"/>
    </w:rPr>
  </w:style>
  <w:style w:type="paragraph" w:styleId="Ttulo7">
    <w:name w:val="heading 7"/>
    <w:basedOn w:val="Normal"/>
    <w:next w:val="Normal"/>
    <w:link w:val="Ttulo7Char"/>
    <w:unhideWhenUsed/>
    <w:qFormat/>
    <w:rsid w:val="007C1BA7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en-US" w:bidi="ar-SA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BA7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en-US" w:bidi="ar-SA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BA7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C1B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7C1B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7C1B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7C1BA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7C1BA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7C1B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7C1BA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7C1B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7C1BA7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7C1BA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7C1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7C1BA7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7C1BA7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7C1BA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BA7"/>
    <w:rPr>
      <w:b/>
      <w:bCs/>
      <w:smallCaps/>
      <w:color w:val="2F5496" w:themeColor="accent1" w:themeShade="BF"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7C1BA7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  <w:lang w:eastAsia="en-US" w:bidi="ar-SA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Subttulo">
    <w:name w:val="Subtitle"/>
    <w:basedOn w:val="Normal"/>
    <w:next w:val="Normal"/>
    <w:link w:val="SubttuloChar"/>
    <w:uiPriority w:val="11"/>
    <w:qFormat/>
    <w:rsid w:val="007C1BA7"/>
    <w:pPr>
      <w:widowControl/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en-US" w:bidi="ar-SA"/>
    </w:rPr>
  </w:style>
  <w:style w:type="paragraph" w:styleId="Citao">
    <w:name w:val="Quote"/>
    <w:basedOn w:val="Normal"/>
    <w:next w:val="Normal"/>
    <w:link w:val="CitaoChar"/>
    <w:uiPriority w:val="29"/>
    <w:qFormat/>
    <w:rsid w:val="007C1BA7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7C1BA7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BA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0"/>
      <w:sz w:val="22"/>
      <w:szCs w:val="22"/>
      <w:lang w:eastAsia="en-US" w:bidi="ar-SA"/>
    </w:rPr>
  </w:style>
  <w:style w:type="paragraph" w:customStyle="1" w:styleId="western">
    <w:name w:val="western"/>
    <w:basedOn w:val="Normal"/>
    <w:qFormat/>
    <w:rsid w:val="001556F5"/>
    <w:pPr>
      <w:spacing w:beforeAutospacing="1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NormalWeb">
    <w:name w:val="Normal (Web)"/>
    <w:basedOn w:val="Normal"/>
    <w:qFormat/>
    <w:rsid w:val="001556F5"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rsid w:val="001556F5"/>
    <w:pPr>
      <w:suppressLineNumbers/>
    </w:pPr>
  </w:style>
  <w:style w:type="table" w:styleId="Tabelacomgrade">
    <w:name w:val="Table Grid"/>
    <w:basedOn w:val="Tabelanormal"/>
    <w:uiPriority w:val="39"/>
    <w:rsid w:val="00753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dc:description/>
  <cp:lastModifiedBy>Tamara Moro</cp:lastModifiedBy>
  <cp:revision>2</cp:revision>
  <cp:lastPrinted>2026-07-20T16:54:00Z</cp:lastPrinted>
  <dcterms:created xsi:type="dcterms:W3CDTF">2026-07-20T18:12:00Z</dcterms:created>
  <dcterms:modified xsi:type="dcterms:W3CDTF">2026-07-20T18:12:00Z</dcterms:modified>
  <dc:language>pt-BR</dc:language>
</cp:coreProperties>
</file>