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hanging="0" w:left="0" w:right="0"/>
        <w:jc w:val="left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tbl>
      <w:tblPr>
        <w:tblStyle w:val="Table1"/>
        <w:tblW w:w="9630" w:type="dxa"/>
        <w:jc w:val="left"/>
        <w:tblInd w:w="4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9630"/>
      </w:tblGrid>
      <w:tr>
        <w:trPr/>
        <w:tc>
          <w:tcPr>
            <w:tcW w:w="9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4472C4" w:val="clear"/>
          </w:tcPr>
          <w:p>
            <w:pPr>
              <w:pStyle w:val="normal1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 </w:t>
            </w:r>
            <w:r>
              <w:rPr>
                <w:b/>
                <w:color w:val="FFFFFF"/>
                <w:sz w:val="24"/>
                <w:szCs w:val="24"/>
              </w:rPr>
              <w:t xml:space="preserve">TERMO DE REFERÊNCIA </w:t>
            </w:r>
            <w:r>
              <w:rPr>
                <w:b/>
                <w:bCs/>
                <w:color w:val="FFFFFF"/>
                <w:sz w:val="24"/>
                <w:szCs w:val="24"/>
              </w:rPr>
              <w:t>CONTRATAÇÃO DE SERVIÇOS TÉCNICOS PARA REGULARIZAÇÃO FUNDIÁRIA URBANA (REURB) E ELABORAÇÃO DE PRAD EM ÁREA VERDE NO BAIRRO IPIRANGA, MUNICÍPIO DE RONDA ALTA – RS</w:t>
            </w:r>
          </w:p>
        </w:tc>
      </w:tr>
    </w:tbl>
    <w:p>
      <w:pPr>
        <w:pStyle w:val="normal1"/>
        <w:spacing w:lineRule="auto" w:line="276"/>
        <w:ind w:hanging="680" w:left="680"/>
        <w:jc w:val="center"/>
        <w:rPr>
          <w:rFonts w:ascii="Arial" w:hAnsi="Arial"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normal1"/>
        <w:spacing w:lineRule="auto" w:line="276"/>
        <w:ind w:firstLine="29" w:left="680"/>
        <w:rPr>
          <w:rFonts w:ascii="Arial" w:hAnsi="Arial"/>
          <w:sz w:val="24"/>
          <w:szCs w:val="24"/>
        </w:rPr>
      </w:pPr>
      <w:r>
        <w:rPr>
          <w:b/>
          <w:color w:val="000000"/>
          <w:sz w:val="24"/>
          <w:szCs w:val="24"/>
        </w:rPr>
        <w:t>PROCESSO ADMINISTRATIVO Nº [...]</w:t>
      </w:r>
    </w:p>
    <w:p>
      <w:pPr>
        <w:pStyle w:val="normal1"/>
        <w:spacing w:lineRule="auto" w:line="276"/>
        <w:ind w:firstLine="29" w:left="680"/>
        <w:rPr>
          <w:rFonts w:ascii="Arial" w:hAnsi="Arial"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normal1"/>
        <w:spacing w:lineRule="auto" w:line="276"/>
        <w:ind w:firstLine="29" w:left="680"/>
        <w:rPr>
          <w:rFonts w:ascii="Arial" w:hAnsi="Arial"/>
          <w:sz w:val="24"/>
          <w:szCs w:val="24"/>
        </w:rPr>
      </w:pPr>
      <w:r>
        <w:rPr>
          <w:color w:val="000000"/>
          <w:sz w:val="24"/>
          <w:szCs w:val="24"/>
        </w:rPr>
        <w:t xml:space="preserve">Município de </w:t>
      </w:r>
      <w:r>
        <w:rPr>
          <w:sz w:val="24"/>
          <w:szCs w:val="24"/>
        </w:rPr>
        <w:t>Ronda Alta / RS</w:t>
      </w:r>
    </w:p>
    <w:p>
      <w:pPr>
        <w:pStyle w:val="normal1"/>
        <w:spacing w:lineRule="auto" w:line="276"/>
        <w:ind w:firstLine="29" w:left="680"/>
        <w:rPr>
          <w:rFonts w:ascii="Arial" w:hAnsi="Arial"/>
          <w:sz w:val="24"/>
          <w:szCs w:val="24"/>
        </w:rPr>
      </w:pPr>
      <w:r>
        <w:rPr>
          <w:sz w:val="24"/>
          <w:szCs w:val="24"/>
        </w:rPr>
        <w:t>Secretaria Municipal da Agricultura e Meio Ambiente de Ronda Alta</w:t>
      </w:r>
    </w:p>
    <w:p>
      <w:pPr>
        <w:pStyle w:val="normal1"/>
        <w:spacing w:lineRule="auto" w:line="276"/>
        <w:ind w:hanging="0" w:left="680"/>
        <w:jc w:val="center"/>
        <w:rPr>
          <w:rFonts w:ascii="Arial" w:hAnsi="Arial"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numPr>
          <w:ilvl w:val="0"/>
          <w:numId w:val="1"/>
        </w:numPr>
        <w:spacing w:lineRule="auto" w:line="360"/>
        <w:ind w:hanging="360" w:left="1040"/>
        <w:jc w:val="both"/>
        <w:rPr>
          <w:rFonts w:ascii="Arial" w:hAnsi="Arial"/>
          <w:sz w:val="24"/>
          <w:szCs w:val="24"/>
        </w:rPr>
      </w:pPr>
      <w:r>
        <w:rPr>
          <w:b/>
          <w:sz w:val="24"/>
          <w:szCs w:val="24"/>
        </w:rPr>
        <w:t>DESCRIÇÃO DO OBJETO:</w:t>
      </w:r>
    </w:p>
    <w:p>
      <w:pPr>
        <w:pStyle w:val="normal1"/>
        <w:spacing w:lineRule="auto" w:line="360"/>
        <w:ind w:hanging="0" w:left="680"/>
        <w:jc w:val="both"/>
        <w:rPr>
          <w:rFonts w:ascii="Arial" w:hAnsi="Arial"/>
          <w:i w:val="false"/>
          <w:i w:val="false"/>
          <w:iCs w:val="false"/>
          <w:sz w:val="24"/>
          <w:szCs w:val="24"/>
        </w:rPr>
      </w:pPr>
      <w:r>
        <w:rPr>
          <w:i w:val="false"/>
          <w:iCs w:val="false"/>
          <w:sz w:val="24"/>
          <w:szCs w:val="24"/>
        </w:rPr>
        <w:tab/>
        <w:tab/>
        <w:t>O</w:t>
      </w:r>
      <w:r>
        <w:rPr>
          <w:b w:val="false"/>
          <w:bCs w:val="false"/>
          <w:i w:val="false"/>
          <w:iCs w:val="false"/>
          <w:sz w:val="24"/>
          <w:szCs w:val="24"/>
        </w:rPr>
        <w:t xml:space="preserve"> presente Termo de Referência tem por objeto a contratação de empresa especializada para a execução dos serviços técnicos necessários à Regularização Fundiária Urbana (REURB-S) do núcleo urbano informal consolidado </w:t>
      </w:r>
      <w:r>
        <w:rPr>
          <w:b w:val="false"/>
          <w:bCs w:val="false"/>
          <w:i w:val="false"/>
          <w:iCs w:val="false"/>
          <w:color w:val="000000"/>
          <w:sz w:val="24"/>
          <w:szCs w:val="24"/>
        </w:rPr>
        <w:t xml:space="preserve">conforme imagem do polígono da área em laranja e elaboração de Plano de Recuperação de Área Degradada (PRAD) em área de Preservação Permanente (APP) </w:t>
        <w:tab/>
        <w:t xml:space="preserve">adjacenta, conforme polígono da área em cor verde demonstrado na figura 01, </w:t>
      </w:r>
      <w:r>
        <w:rPr>
          <w:b w:val="false"/>
          <w:bCs w:val="false"/>
          <w:i w:val="false"/>
          <w:iCs w:val="false"/>
          <w:sz w:val="24"/>
          <w:szCs w:val="24"/>
        </w:rPr>
        <w:t>localizado no bairro Ipiranga, nas proximidades da Associação Atlética Banco do Brasil (AABB), na Rua Ari Tasca, no município de Ronda Alta – RS, visando a regularização das residências consolidadas no local, promovendo melhorias de infraestrutura, serviços urbanos e qualidade de vida aos seus habitantes, assim como a elaboração do PRAD da área verde degradada, conforme TACs celebrados.</w:t>
      </w:r>
    </w:p>
    <w:p>
      <w:pPr>
        <w:pStyle w:val="normal1"/>
        <w:spacing w:lineRule="auto" w:line="360"/>
        <w:ind w:hanging="0" w:left="680"/>
        <w:jc w:val="both"/>
        <w:rPr>
          <w:rFonts w:ascii="Arial" w:hAnsi="Arial"/>
          <w:b w:val="false"/>
          <w:bCs w:val="false"/>
          <w:i w:val="false"/>
          <w:i w:val="false"/>
          <w:iCs w:val="false"/>
          <w:sz w:val="20"/>
          <w:szCs w:val="20"/>
        </w:rPr>
      </w:pPr>
      <w: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461645</wp:posOffset>
            </wp:positionH>
            <wp:positionV relativeFrom="paragraph">
              <wp:posOffset>635</wp:posOffset>
            </wp:positionV>
            <wp:extent cx="4119245" cy="2509520"/>
            <wp:effectExtent l="0" t="0" r="0" b="0"/>
            <wp:wrapTopAndBottom/>
            <wp:docPr id="1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245" cy="250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i w:val="false"/>
          <w:iCs w:val="false"/>
          <w:sz w:val="20"/>
          <w:szCs w:val="20"/>
        </w:rPr>
        <w:t xml:space="preserve">Figura 01: </w:t>
      </w:r>
      <w:r>
        <w:rPr>
          <w:b w:val="false"/>
          <w:bCs w:val="false"/>
          <w:i w:val="false"/>
          <w:iCs w:val="false"/>
          <w:sz w:val="20"/>
          <w:szCs w:val="20"/>
        </w:rPr>
        <w:t>Polígono de área destinada a estudo para REURB (área em laranja) e elaboração de PRAD (área em verde).</w:t>
      </w:r>
    </w:p>
    <w:p>
      <w:pPr>
        <w:pStyle w:val="normal1"/>
        <w:spacing w:lineRule="auto" w:line="360"/>
        <w:ind w:hanging="0" w:left="680"/>
        <w:jc w:val="both"/>
        <w:rPr/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454025</wp:posOffset>
            </wp:positionH>
            <wp:positionV relativeFrom="paragraph">
              <wp:posOffset>635</wp:posOffset>
            </wp:positionV>
            <wp:extent cx="4145915" cy="2839085"/>
            <wp:effectExtent l="0" t="0" r="0" b="0"/>
            <wp:wrapTopAndBottom/>
            <wp:docPr id="2" name="Figur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283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i w:val="false"/>
          <w:iCs w:val="false"/>
          <w:sz w:val="20"/>
          <w:szCs w:val="20"/>
        </w:rPr>
        <w:t xml:space="preserve">Figura 02: </w:t>
      </w:r>
      <w:r>
        <w:rPr>
          <w:b w:val="false"/>
          <w:bCs w:val="false"/>
          <w:i w:val="false"/>
          <w:iCs w:val="false"/>
          <w:sz w:val="20"/>
          <w:szCs w:val="20"/>
        </w:rPr>
        <w:t xml:space="preserve">Mapa municipal de Ronda Alta com delimitação da Área Verde, sendo parte destinada a REURB (onde se encontra a residência do Sr. Hélio Peretti e, o restante, destinada a elaboração de PRAD. </w:t>
      </w:r>
    </w:p>
    <w:p>
      <w:pPr>
        <w:pStyle w:val="normal1"/>
        <w:spacing w:lineRule="auto" w:line="360"/>
        <w:ind w:hanging="0" w:left="680"/>
        <w:jc w:val="both"/>
        <w:rPr>
          <w:rFonts w:ascii="Arial" w:hAnsi="Arial"/>
          <w:i w:val="false"/>
          <w:i w:val="false"/>
          <w:iCs w:val="false"/>
          <w:sz w:val="24"/>
          <w:szCs w:val="24"/>
        </w:rPr>
      </w:pPr>
      <w:r>
        <w:rPr>
          <w:i w:val="false"/>
          <w:iCs w:val="false"/>
          <w:sz w:val="24"/>
          <w:szCs w:val="24"/>
        </w:rPr>
        <w:tab/>
        <w:tab/>
        <w:t xml:space="preserve">A prestação de serviços iniciará imediatamente após a assinatura do contrato. </w:t>
      </w:r>
      <w:r>
        <w:rPr>
          <w:b w:val="false"/>
          <w:bCs w:val="false"/>
          <w:i w:val="false"/>
          <w:iCs w:val="false"/>
          <w:sz w:val="24"/>
          <w:szCs w:val="24"/>
        </w:rPr>
        <w:t>O objeto inclui:</w:t>
      </w:r>
    </w:p>
    <w:p>
      <w:pPr>
        <w:pStyle w:val="normal1"/>
        <w:numPr>
          <w:ilvl w:val="0"/>
          <w:numId w:val="2"/>
        </w:numPr>
        <w:spacing w:lineRule="auto" w:line="360"/>
        <w:ind w:hanging="0" w:left="680"/>
        <w:jc w:val="both"/>
        <w:rPr>
          <w:b w:val="false"/>
          <w:bCs w:val="false"/>
        </w:rPr>
      </w:pPr>
      <w:r>
        <w:rPr>
          <w:b w:val="false"/>
          <w:bCs w:val="false"/>
          <w:i w:val="false"/>
          <w:iCs w:val="false"/>
          <w:sz w:val="24"/>
          <w:szCs w:val="24"/>
        </w:rPr>
        <w:t>Projeto de sistema de abastecimento de água potável, coletivo ou individual (quando necessário);</w:t>
      </w:r>
    </w:p>
    <w:p>
      <w:pPr>
        <w:pStyle w:val="normal1"/>
        <w:numPr>
          <w:ilvl w:val="0"/>
          <w:numId w:val="2"/>
        </w:numPr>
        <w:spacing w:lineRule="auto" w:line="360"/>
        <w:ind w:hanging="0" w:left="680"/>
        <w:jc w:val="both"/>
        <w:rPr>
          <w:b w:val="false"/>
          <w:bCs w:val="false"/>
        </w:rPr>
      </w:pPr>
      <w:r>
        <w:rPr>
          <w:b w:val="false"/>
          <w:bCs w:val="false"/>
          <w:i w:val="false"/>
          <w:iCs w:val="false"/>
          <w:sz w:val="24"/>
          <w:szCs w:val="24"/>
        </w:rPr>
        <w:t>Projeto de sistema de coleta e tratamento de esgotamento sanitário, coletivo ou individual  (quando necessário);</w:t>
      </w:r>
    </w:p>
    <w:p>
      <w:pPr>
        <w:pStyle w:val="normal1"/>
        <w:numPr>
          <w:ilvl w:val="0"/>
          <w:numId w:val="2"/>
        </w:numPr>
        <w:spacing w:lineRule="auto" w:line="360"/>
        <w:ind w:hanging="0" w:left="680"/>
        <w:jc w:val="both"/>
        <w:rPr>
          <w:b w:val="false"/>
          <w:bCs w:val="false"/>
        </w:rPr>
      </w:pPr>
      <w:r>
        <w:rPr>
          <w:b w:val="false"/>
          <w:bCs w:val="false"/>
          <w:i w:val="false"/>
          <w:iCs w:val="false"/>
          <w:sz w:val="24"/>
          <w:szCs w:val="24"/>
        </w:rPr>
        <w:t>Projeto de sede de energia elétrica domiciliar  (quando necessário);</w:t>
      </w:r>
    </w:p>
    <w:p>
      <w:pPr>
        <w:pStyle w:val="normal1"/>
        <w:numPr>
          <w:ilvl w:val="0"/>
          <w:numId w:val="2"/>
        </w:numPr>
        <w:spacing w:lineRule="auto" w:line="360"/>
        <w:ind w:hanging="0" w:left="680"/>
        <w:jc w:val="both"/>
        <w:rPr>
          <w:b w:val="false"/>
          <w:bCs w:val="false"/>
        </w:rPr>
      </w:pPr>
      <w:r>
        <w:rPr>
          <w:b w:val="false"/>
          <w:bCs w:val="false"/>
          <w:i w:val="false"/>
          <w:iCs w:val="false"/>
          <w:sz w:val="24"/>
          <w:szCs w:val="24"/>
        </w:rPr>
        <w:t xml:space="preserve">Projeto de soluções de drenagem urbana (quando necessário). </w:t>
      </w:r>
    </w:p>
    <w:p>
      <w:pPr>
        <w:pStyle w:val="normal1"/>
        <w:numPr>
          <w:ilvl w:val="0"/>
          <w:numId w:val="2"/>
        </w:numPr>
        <w:spacing w:lineRule="auto" w:line="360"/>
        <w:ind w:hanging="0" w:left="680"/>
        <w:jc w:val="both"/>
        <w:rPr>
          <w:b w:val="false"/>
          <w:bCs w:val="false"/>
        </w:rPr>
      </w:pPr>
      <w:r>
        <w:rPr>
          <w:b w:val="false"/>
          <w:bCs w:val="false"/>
          <w:i w:val="false"/>
          <w:iCs w:val="false"/>
          <w:sz w:val="24"/>
          <w:szCs w:val="24"/>
        </w:rPr>
        <w:t xml:space="preserve">Plano de Recuperação de Área Degradada (PRAD) em área de Preservação Permanente (APP) </w:t>
        <w:tab/>
        <w:t>adjacente, Incluindo mapeamento, diagnóstico ambiental e plano de intervenção</w:t>
      </w:r>
    </w:p>
    <w:p>
      <w:pPr>
        <w:pStyle w:val="normal1"/>
        <w:spacing w:lineRule="auto" w:line="360"/>
        <w:ind w:hanging="0" w:left="680"/>
        <w:jc w:val="both"/>
        <w:rPr>
          <w:b w:val="false"/>
          <w:bCs w:val="false"/>
        </w:rPr>
      </w:pPr>
      <w:r>
        <w:rPr>
          <w:b w:val="false"/>
          <w:bCs w:val="false"/>
          <w:i w:val="false"/>
          <w:iCs w:val="false"/>
          <w:sz w:val="24"/>
          <w:szCs w:val="24"/>
        </w:rPr>
        <w:tab/>
        <w:tab/>
        <w:t>A execução/implementação dos projetos citados acima fica a cargo da Prefeitura Municipal de Ronda Alta (quando necessário).</w:t>
      </w:r>
    </w:p>
    <w:p>
      <w:pPr>
        <w:pStyle w:val="normal1"/>
        <w:spacing w:lineRule="auto" w:line="360"/>
        <w:ind w:hanging="0" w:left="680"/>
        <w:jc w:val="both"/>
        <w:rPr>
          <w:rFonts w:ascii="Arial" w:hAnsi="Arial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1"/>
        <w:numPr>
          <w:ilvl w:val="0"/>
          <w:numId w:val="1"/>
        </w:numPr>
        <w:spacing w:lineRule="auto" w:line="360"/>
        <w:ind w:hanging="360" w:left="1040"/>
        <w:jc w:val="both"/>
        <w:rPr>
          <w:rFonts w:ascii="Arial" w:hAnsi="Arial"/>
          <w:sz w:val="24"/>
          <w:szCs w:val="24"/>
        </w:rPr>
      </w:pPr>
      <w:r>
        <w:rPr>
          <w:b/>
          <w:bCs/>
          <w:sz w:val="24"/>
          <w:szCs w:val="24"/>
        </w:rPr>
        <w:t>JUSTIFI</w:t>
      </w:r>
      <w:r>
        <w:rPr>
          <w:b/>
          <w:sz w:val="24"/>
          <w:szCs w:val="24"/>
        </w:rPr>
        <w:t>CATIVA DA CONTRATAÇÃO:</w:t>
      </w:r>
      <w:bookmarkStart w:id="0" w:name="bookmark=kix.w17mwk4ctesx"/>
      <w:bookmarkEnd w:id="0"/>
    </w:p>
    <w:p>
      <w:pPr>
        <w:pStyle w:val="normal1"/>
        <w:spacing w:lineRule="auto" w:line="360"/>
        <w:ind w:firstLine="720" w:left="720"/>
        <w:jc w:val="both"/>
        <w:rPr>
          <w:rFonts w:ascii="Arial" w:hAnsi="Arial"/>
          <w:sz w:val="24"/>
          <w:szCs w:val="24"/>
        </w:rPr>
      </w:pPr>
      <w:r>
        <w:rPr>
          <w:sz w:val="24"/>
          <w:szCs w:val="24"/>
        </w:rPr>
        <w:t>Justifica-se a presente contratação por a regularização fundiária do núcleo urbano mencionado ser a medida necessária para garantir o direito à moradia digna, promover a inclusão social e assegurar a segurança jurídica aos ocupantes das residências consolidadas. O local apresenta características de consolidação urbana e ausência de regularização formal, o que impede o acesso pleno aos serviços públicos essenciais.</w:t>
      </w:r>
    </w:p>
    <w:p>
      <w:pPr>
        <w:pStyle w:val="normal1"/>
        <w:spacing w:lineRule="auto" w:line="360"/>
        <w:ind w:firstLine="720" w:left="720"/>
        <w:jc w:val="both"/>
        <w:rPr>
          <w:rFonts w:ascii="Arial" w:hAnsi="Arial"/>
          <w:sz w:val="24"/>
          <w:szCs w:val="24"/>
        </w:rPr>
      </w:pPr>
      <w:r>
        <w:rPr>
          <w:sz w:val="24"/>
          <w:szCs w:val="24"/>
        </w:rPr>
        <w:t>Além disso, a medida visa atender aos princípios da função social da propriedade e da dignidade da pessoa humana, previstos na Constituição Federal, promovendo o ordenamento territorial e prevenindo conflitos fundiários.</w:t>
      </w:r>
    </w:p>
    <w:p>
      <w:pPr>
        <w:pStyle w:val="normal1"/>
        <w:spacing w:lineRule="auto" w:line="360"/>
        <w:ind w:firstLine="720" w:left="720"/>
        <w:jc w:val="both"/>
        <w:rPr>
          <w:rFonts w:ascii="Arial" w:hAnsi="Arial"/>
          <w:sz w:val="24"/>
          <w:szCs w:val="24"/>
        </w:rPr>
      </w:pPr>
      <w:r>
        <w:rPr>
          <w:sz w:val="24"/>
          <w:szCs w:val="24"/>
        </w:rPr>
        <w:t>A solicitação para execução da REURB partiu do Ministério Público de Ronda Alta, por meio de proposta de 02 (dois) Termos de Ajustes de Condutas (TACs), visando à regularização da área e à recuperação de área de Área Verde degradada existente no entorno.</w:t>
      </w:r>
    </w:p>
    <w:p>
      <w:pPr>
        <w:pStyle w:val="normal1"/>
        <w:spacing w:lineRule="auto" w:line="360"/>
        <w:ind w:firstLine="720" w:left="720"/>
        <w:jc w:val="both"/>
        <w:rPr>
          <w:rFonts w:ascii="Arial" w:hAnsi="Arial"/>
          <w:sz w:val="24"/>
          <w:szCs w:val="24"/>
        </w:rPr>
      </w:pPr>
      <w:r>
        <w:rPr>
          <w:sz w:val="24"/>
          <w:szCs w:val="24"/>
        </w:rPr>
        <w:t>A REURB promoverá a integração urbanística e social das famílias residentes, possibilitando o acesso a políticas públicas e serviços básicos como saneamento, energia e mobilidade, conforme diretrizes do Estatuto da Cidade e da Lei Federal nº 13.465/2017.</w:t>
      </w:r>
    </w:p>
    <w:p>
      <w:pPr>
        <w:pStyle w:val="normal1"/>
        <w:spacing w:lineRule="auto" w:line="360"/>
        <w:ind w:firstLine="720" w:left="720"/>
        <w:jc w:val="both"/>
        <w:rPr>
          <w:rFonts w:ascii="Arial" w:hAnsi="Arial"/>
          <w:sz w:val="24"/>
          <w:szCs w:val="24"/>
        </w:rPr>
      </w:pPr>
      <w:r>
        <w:rPr>
          <w:sz w:val="24"/>
          <w:szCs w:val="24"/>
        </w:rPr>
        <w:t>A contratação é, portanto, essencial para atender ao compromisso firmado no âmbito dos TACs, promovendo a legalidade, dignidade, sustentabilidade e planejamento urbano do município.</w:t>
      </w:r>
    </w:p>
    <w:p>
      <w:pPr>
        <w:pStyle w:val="normal1"/>
        <w:spacing w:lineRule="auto" w:line="360"/>
        <w:ind w:firstLine="720" w:left="720"/>
        <w:jc w:val="both"/>
        <w:rPr>
          <w:rFonts w:ascii="Arial" w:hAnsi="Arial"/>
          <w:sz w:val="24"/>
          <w:szCs w:val="24"/>
        </w:rPr>
      </w:pPr>
      <w:r>
        <w:rPr>
          <w:sz w:val="24"/>
          <w:szCs w:val="24"/>
        </w:rPr>
        <w:t xml:space="preserve">A modalidade sugerida para realizar a contratação é a </w:t>
      </w:r>
      <w:r>
        <w:rPr>
          <w:color w:val="000000"/>
          <w:sz w:val="24"/>
          <w:szCs w:val="24"/>
        </w:rPr>
        <w:t>dispensa de licitação.</w:t>
      </w:r>
      <w:r>
        <w:rPr>
          <w:sz w:val="24"/>
          <w:szCs w:val="24"/>
        </w:rPr>
        <w:t xml:space="preserve"> Declaramos que o valor pretendido não ultrapassa para este objeto o limite de gasto anual com a presente compra/contratação. </w:t>
      </w:r>
    </w:p>
    <w:p>
      <w:pPr>
        <w:pStyle w:val="normal1"/>
        <w:spacing w:lineRule="auto" w:line="360"/>
        <w:ind w:firstLine="720" w:left="720"/>
        <w:jc w:val="both"/>
        <w:rPr>
          <w:rFonts w:ascii="Arial" w:hAnsi="Arial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numPr>
          <w:ilvl w:val="0"/>
          <w:numId w:val="1"/>
        </w:numPr>
        <w:spacing w:lineRule="auto" w:line="360"/>
        <w:ind w:hanging="360" w:left="1040"/>
        <w:jc w:val="both"/>
        <w:rPr>
          <w:rFonts w:ascii="Arial" w:hAnsi="Arial"/>
          <w:sz w:val="24"/>
          <w:szCs w:val="24"/>
        </w:rPr>
      </w:pPr>
      <w:r>
        <w:rPr>
          <w:b/>
          <w:sz w:val="24"/>
          <w:szCs w:val="24"/>
        </w:rPr>
        <w:t>DESCRIÇÃO DA SOLUÇÃO COMO UM TODO:</w:t>
      </w:r>
    </w:p>
    <w:p>
      <w:pPr>
        <w:pStyle w:val="normal1"/>
        <w:spacing w:lineRule="auto" w:line="360"/>
        <w:ind w:firstLine="720" w:left="720"/>
        <w:jc w:val="both"/>
        <w:rPr>
          <w:rFonts w:ascii="Arial" w:hAnsi="Arial"/>
          <w:sz w:val="24"/>
          <w:szCs w:val="24"/>
        </w:rPr>
      </w:pPr>
      <w:r>
        <w:rPr>
          <w:sz w:val="24"/>
          <w:szCs w:val="24"/>
        </w:rPr>
        <w:t xml:space="preserve">Considerando o conjunto de todos os elementos de forma integrada que compõem o presente TR, se espera que a solução pretendida atenda de forma eficiente e eficaz todas as necessidades da demanda, </w:t>
      </w:r>
      <w:r>
        <w:rPr>
          <w:b w:val="false"/>
          <w:bCs w:val="false"/>
          <w:i w:val="false"/>
          <w:iCs w:val="false"/>
          <w:sz w:val="24"/>
          <w:szCs w:val="24"/>
        </w:rPr>
        <w:t>regularizando o núcleo urbano informal e as residências consolidadas no local, promovendo melhorias de infraestrutura, serviços urbanos e qualidade de vida aos seus habitantes.</w:t>
      </w:r>
    </w:p>
    <w:p>
      <w:pPr>
        <w:pStyle w:val="normal1"/>
        <w:spacing w:lineRule="auto" w:line="360"/>
        <w:ind w:hanging="0" w:left="680"/>
        <w:jc w:val="both"/>
        <w:rPr>
          <w:rFonts w:ascii="Arial" w:hAnsi="Arial"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numPr>
          <w:ilvl w:val="0"/>
          <w:numId w:val="1"/>
        </w:numPr>
        <w:spacing w:lineRule="auto" w:line="360"/>
        <w:ind w:hanging="360" w:left="1040"/>
        <w:jc w:val="both"/>
        <w:rPr>
          <w:rFonts w:ascii="Arial" w:hAnsi="Arial"/>
          <w:sz w:val="24"/>
          <w:szCs w:val="24"/>
        </w:rPr>
      </w:pPr>
      <w:r>
        <w:rPr>
          <w:b/>
          <w:sz w:val="24"/>
          <w:szCs w:val="24"/>
        </w:rPr>
        <w:t>REQUISITOS DA CONTRATAÇÃO:</w:t>
      </w:r>
    </w:p>
    <w:p>
      <w:pPr>
        <w:pStyle w:val="normal1"/>
        <w:numPr>
          <w:ilvl w:val="0"/>
          <w:numId w:val="2"/>
        </w:numPr>
        <w:spacing w:lineRule="auto" w:line="360"/>
        <w:ind w:hanging="360" w:left="720"/>
        <w:jc w:val="both"/>
        <w:rPr>
          <w:rFonts w:ascii="Arial" w:hAnsi="Arial"/>
          <w:sz w:val="24"/>
          <w:szCs w:val="24"/>
        </w:rPr>
      </w:pPr>
      <w:r>
        <w:rPr>
          <w:sz w:val="24"/>
          <w:szCs w:val="24"/>
        </w:rPr>
        <w:t>Os serviços têm natureza comum tendo em vista que seus padrões de desempenho e qualidade podem ser objetivamente definidos pelo edital, por meio de especificações usuais de mercado, nos termos do art. 6º, inciso XIII, da Lei Federal nº 14.133/2021;</w:t>
      </w:r>
    </w:p>
    <w:p>
      <w:pPr>
        <w:pStyle w:val="normal1"/>
        <w:numPr>
          <w:ilvl w:val="0"/>
          <w:numId w:val="2"/>
        </w:numPr>
        <w:spacing w:lineRule="auto" w:line="360"/>
        <w:ind w:hanging="360" w:left="720"/>
        <w:jc w:val="both"/>
        <w:rPr>
          <w:rFonts w:ascii="Arial" w:hAnsi="Arial"/>
          <w:sz w:val="24"/>
          <w:szCs w:val="24"/>
        </w:rPr>
      </w:pPr>
      <w:r>
        <w:rPr>
          <w:sz w:val="24"/>
          <w:szCs w:val="24"/>
        </w:rPr>
        <w:t>Fica vedada a subcontratação;</w:t>
      </w:r>
    </w:p>
    <w:p>
      <w:pPr>
        <w:pStyle w:val="normal1"/>
        <w:numPr>
          <w:ilvl w:val="0"/>
          <w:numId w:val="2"/>
        </w:numPr>
        <w:spacing w:lineRule="auto" w:line="360"/>
        <w:ind w:hanging="360" w:left="720"/>
        <w:jc w:val="both"/>
        <w:rPr>
          <w:rFonts w:ascii="Arial" w:hAnsi="Arial"/>
          <w:sz w:val="24"/>
          <w:szCs w:val="24"/>
        </w:rPr>
      </w:pPr>
      <w:r>
        <w:rPr>
          <w:sz w:val="24"/>
          <w:szCs w:val="24"/>
        </w:rPr>
        <w:t>O preço final deverá incluir todas as despesas referentes aos tributos, deslocamentos e demais encargos.</w:t>
      </w:r>
    </w:p>
    <w:p>
      <w:pPr>
        <w:pStyle w:val="normal1"/>
        <w:numPr>
          <w:ilvl w:val="0"/>
          <w:numId w:val="2"/>
        </w:numPr>
        <w:spacing w:lineRule="auto" w:line="360"/>
        <w:ind w:hanging="360" w:left="720"/>
        <w:jc w:val="both"/>
        <w:rPr>
          <w:rFonts w:ascii="Arial" w:hAnsi="Arial"/>
          <w:sz w:val="24"/>
          <w:szCs w:val="24"/>
        </w:rPr>
      </w:pPr>
      <w:r>
        <w:rPr>
          <w:sz w:val="24"/>
          <w:szCs w:val="24"/>
        </w:rPr>
        <w:t>Os serviços deverão ser entregues no prazo combinado (180 dias corridos).</w:t>
      </w:r>
    </w:p>
    <w:p>
      <w:pPr>
        <w:pStyle w:val="normal1"/>
        <w:numPr>
          <w:ilvl w:val="0"/>
          <w:numId w:val="0"/>
        </w:numPr>
        <w:spacing w:lineRule="auto" w:line="360"/>
        <w:ind w:hanging="0" w:left="720"/>
        <w:jc w:val="both"/>
        <w:rPr>
          <w:rFonts w:ascii="Arial" w:hAnsi="Arial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numPr>
          <w:ilvl w:val="0"/>
          <w:numId w:val="0"/>
        </w:numPr>
        <w:spacing w:lineRule="auto" w:line="360"/>
        <w:ind w:hanging="0" w:left="720"/>
        <w:jc w:val="both"/>
        <w:rPr>
          <w:rFonts w:ascii="Arial" w:hAnsi="Arial"/>
          <w:sz w:val="24"/>
          <w:szCs w:val="24"/>
        </w:rPr>
      </w:pPr>
      <w:r>
        <w:rPr>
          <w:b/>
          <w:bCs/>
          <w:sz w:val="24"/>
          <w:szCs w:val="24"/>
          <w:u w:val="none"/>
        </w:rPr>
        <w:t>4.1 A empresa contratada deverá:</w:t>
      </w:r>
    </w:p>
    <w:p>
      <w:pPr>
        <w:pStyle w:val="Normal"/>
        <w:numPr>
          <w:ilvl w:val="3"/>
          <w:numId w:val="2"/>
        </w:numPr>
        <w:spacing w:lineRule="auto" w:line="360"/>
        <w:ind w:hanging="360" w:left="720"/>
        <w:jc w:val="both"/>
        <w:rPr>
          <w:rFonts w:ascii="Arial" w:hAnsi="Arial"/>
          <w:sz w:val="24"/>
          <w:szCs w:val="24"/>
        </w:rPr>
      </w:pPr>
      <w:r>
        <w:rPr>
          <w:b w:val="false"/>
          <w:bCs w:val="false"/>
          <w:sz w:val="24"/>
          <w:szCs w:val="24"/>
        </w:rPr>
        <w:t>Realizar diagnó</w:t>
      </w:r>
      <w:r>
        <w:rPr>
          <w:sz w:val="24"/>
          <w:szCs w:val="24"/>
        </w:rPr>
        <w:t>stico e levantamento de campo das residências e da área de APP;</w:t>
      </w:r>
    </w:p>
    <w:p>
      <w:pPr>
        <w:pStyle w:val="Normal"/>
        <w:numPr>
          <w:ilvl w:val="0"/>
          <w:numId w:val="2"/>
        </w:numPr>
        <w:spacing w:lineRule="auto" w:line="360"/>
        <w:ind w:hanging="360" w:left="720"/>
        <w:jc w:val="both"/>
        <w:rPr>
          <w:rFonts w:ascii="Arial" w:hAnsi="Arial"/>
          <w:sz w:val="24"/>
          <w:szCs w:val="24"/>
        </w:rPr>
      </w:pPr>
      <w:r>
        <w:rPr>
          <w:b w:val="false"/>
          <w:bCs w:val="false"/>
          <w:sz w:val="24"/>
          <w:szCs w:val="24"/>
        </w:rPr>
        <w:t>Realizar l</w:t>
      </w:r>
      <w:r>
        <w:rPr>
          <w:sz w:val="24"/>
          <w:szCs w:val="24"/>
        </w:rPr>
        <w:t>evantamento planialtimétrico cadastral georreferenciado da área a ser regularizada;</w:t>
      </w:r>
    </w:p>
    <w:p>
      <w:pPr>
        <w:pStyle w:val="Normal"/>
        <w:numPr>
          <w:ilvl w:val="0"/>
          <w:numId w:val="2"/>
        </w:numPr>
        <w:spacing w:lineRule="auto" w:line="360"/>
        <w:ind w:hanging="360" w:left="720"/>
        <w:jc w:val="both"/>
        <w:rPr>
          <w:rFonts w:ascii="Arial" w:hAnsi="Arial"/>
          <w:sz w:val="24"/>
          <w:szCs w:val="24"/>
        </w:rPr>
      </w:pPr>
      <w:r>
        <w:rPr>
          <w:b w:val="false"/>
          <w:bCs w:val="false"/>
          <w:sz w:val="24"/>
          <w:szCs w:val="24"/>
        </w:rPr>
        <w:t>Realizar e</w:t>
      </w:r>
      <w:r>
        <w:rPr>
          <w:sz w:val="24"/>
          <w:szCs w:val="24"/>
        </w:rPr>
        <w:t>laboração de projeto urbanístico conforme a Lei nº 13.465/2017;</w:t>
      </w:r>
    </w:p>
    <w:p>
      <w:pPr>
        <w:pStyle w:val="Normal"/>
        <w:numPr>
          <w:ilvl w:val="0"/>
          <w:numId w:val="2"/>
        </w:numPr>
        <w:spacing w:lineRule="auto" w:line="360"/>
        <w:ind w:hanging="360" w:left="720"/>
        <w:jc w:val="both"/>
        <w:rPr>
          <w:rFonts w:ascii="Arial" w:hAnsi="Arial"/>
          <w:sz w:val="24"/>
          <w:szCs w:val="24"/>
        </w:rPr>
      </w:pPr>
      <w:r>
        <w:rPr>
          <w:b w:val="false"/>
          <w:bCs w:val="false"/>
          <w:sz w:val="24"/>
          <w:szCs w:val="24"/>
        </w:rPr>
        <w:t>Realizar e</w:t>
      </w:r>
      <w:r>
        <w:rPr>
          <w:sz w:val="24"/>
          <w:szCs w:val="24"/>
        </w:rPr>
        <w:t>studos técnicos e ambientais necessários à regularização;</w:t>
      </w:r>
    </w:p>
    <w:p>
      <w:pPr>
        <w:pStyle w:val="Normal"/>
        <w:numPr>
          <w:ilvl w:val="0"/>
          <w:numId w:val="2"/>
        </w:numPr>
        <w:spacing w:lineRule="auto" w:line="360"/>
        <w:ind w:hanging="360" w:left="720"/>
        <w:jc w:val="both"/>
        <w:rPr>
          <w:rFonts w:ascii="Arial" w:hAnsi="Arial"/>
          <w:sz w:val="24"/>
          <w:szCs w:val="24"/>
        </w:rPr>
      </w:pPr>
      <w:r>
        <w:rPr>
          <w:b w:val="false"/>
          <w:bCs w:val="false"/>
          <w:sz w:val="24"/>
          <w:szCs w:val="24"/>
        </w:rPr>
        <w:t>Realizar l</w:t>
      </w:r>
      <w:r>
        <w:rPr>
          <w:sz w:val="24"/>
          <w:szCs w:val="24"/>
        </w:rPr>
        <w:t>evantamento de rede existente e projetos complementares (água, esgoto, energia, drenagem);</w:t>
      </w:r>
    </w:p>
    <w:p>
      <w:pPr>
        <w:pStyle w:val="Normal"/>
        <w:numPr>
          <w:ilvl w:val="0"/>
          <w:numId w:val="2"/>
        </w:numPr>
        <w:spacing w:lineRule="auto" w:line="360"/>
        <w:ind w:hanging="360" w:left="720"/>
        <w:jc w:val="both"/>
        <w:rPr>
          <w:rFonts w:ascii="Arial" w:hAnsi="Arial"/>
          <w:sz w:val="24"/>
          <w:szCs w:val="24"/>
        </w:rPr>
      </w:pPr>
      <w:r>
        <w:rPr>
          <w:b w:val="false"/>
          <w:bCs w:val="false"/>
          <w:sz w:val="24"/>
          <w:szCs w:val="24"/>
        </w:rPr>
        <w:t>Realizar e</w:t>
      </w:r>
      <w:r>
        <w:rPr>
          <w:sz w:val="24"/>
          <w:szCs w:val="24"/>
        </w:rPr>
        <w:t>laboração e apresentação do projeto de REURB com todos os documentos exigidos para aprovação e registro;</w:t>
      </w:r>
    </w:p>
    <w:p>
      <w:pPr>
        <w:pStyle w:val="Normal"/>
        <w:numPr>
          <w:ilvl w:val="0"/>
          <w:numId w:val="2"/>
        </w:numPr>
        <w:spacing w:lineRule="auto" w:line="360"/>
        <w:ind w:hanging="360" w:left="720"/>
        <w:jc w:val="both"/>
        <w:rPr>
          <w:rFonts w:ascii="Arial" w:hAnsi="Arial"/>
          <w:sz w:val="24"/>
          <w:szCs w:val="24"/>
        </w:rPr>
      </w:pPr>
      <w:r>
        <w:rPr>
          <w:b w:val="false"/>
          <w:bCs w:val="false"/>
          <w:sz w:val="24"/>
          <w:szCs w:val="24"/>
        </w:rPr>
        <w:t>Realizar m</w:t>
      </w:r>
      <w:r>
        <w:rPr>
          <w:sz w:val="24"/>
          <w:szCs w:val="24"/>
        </w:rPr>
        <w:t>apeamento e elaboração do PRAD da área de APP (1.200 m²), com identificação das espécies a serem utilizadas, cronograma de implantação e diretrizes de monitoramento;</w:t>
      </w:r>
    </w:p>
    <w:p>
      <w:pPr>
        <w:pStyle w:val="Normal"/>
        <w:numPr>
          <w:ilvl w:val="0"/>
          <w:numId w:val="2"/>
        </w:numPr>
        <w:spacing w:lineRule="auto" w:line="360"/>
        <w:ind w:hanging="360" w:left="720"/>
        <w:jc w:val="both"/>
        <w:rPr>
          <w:rFonts w:ascii="Arial" w:hAnsi="Arial"/>
          <w:sz w:val="24"/>
          <w:szCs w:val="24"/>
        </w:rPr>
      </w:pPr>
      <w:r>
        <w:rPr>
          <w:b w:val="false"/>
          <w:bCs w:val="false"/>
          <w:sz w:val="24"/>
          <w:szCs w:val="24"/>
        </w:rPr>
        <w:t>Realizar a</w:t>
      </w:r>
      <w:r>
        <w:rPr>
          <w:sz w:val="24"/>
          <w:szCs w:val="24"/>
        </w:rPr>
        <w:t>companhamento junto aos órgãos competentes até a finalização do processo de regularização fundiária e entrega do PRAD;</w:t>
      </w:r>
    </w:p>
    <w:p>
      <w:pPr>
        <w:pStyle w:val="Normal"/>
        <w:numPr>
          <w:ilvl w:val="0"/>
          <w:numId w:val="2"/>
        </w:numPr>
        <w:spacing w:lineRule="auto" w:line="360"/>
        <w:ind w:hanging="360" w:left="720"/>
        <w:jc w:val="both"/>
        <w:rPr>
          <w:rFonts w:ascii="Arial" w:hAnsi="Arial"/>
          <w:sz w:val="24"/>
          <w:szCs w:val="24"/>
        </w:rPr>
      </w:pPr>
      <w:r>
        <w:rPr>
          <w:sz w:val="24"/>
          <w:szCs w:val="24"/>
        </w:rPr>
        <w:t>Desenvolver e encaminhar aos setores competentes a manifestação circunstanciada quanto aos requerimentos relativos aos processos de regularização fundiária;</w:t>
      </w:r>
    </w:p>
    <w:p>
      <w:pPr>
        <w:pStyle w:val="Normal"/>
        <w:numPr>
          <w:ilvl w:val="0"/>
          <w:numId w:val="2"/>
        </w:numPr>
        <w:spacing w:lineRule="auto" w:line="360"/>
        <w:ind w:hanging="360" w:left="720"/>
        <w:jc w:val="both"/>
        <w:rPr>
          <w:rFonts w:ascii="Arial" w:hAnsi="Arial"/>
          <w:sz w:val="24"/>
          <w:szCs w:val="24"/>
        </w:rPr>
      </w:pPr>
      <w:r>
        <w:rPr>
          <w:sz w:val="24"/>
          <w:szCs w:val="24"/>
        </w:rPr>
        <w:t>Realizar diligências;</w:t>
      </w:r>
    </w:p>
    <w:p>
      <w:pPr>
        <w:pStyle w:val="Normal"/>
        <w:numPr>
          <w:ilvl w:val="0"/>
          <w:numId w:val="2"/>
        </w:numPr>
        <w:spacing w:lineRule="auto" w:line="360"/>
        <w:ind w:hanging="360" w:left="720"/>
        <w:jc w:val="both"/>
        <w:rPr>
          <w:rFonts w:ascii="Arial" w:hAnsi="Arial"/>
          <w:sz w:val="24"/>
          <w:szCs w:val="24"/>
        </w:rPr>
      </w:pPr>
      <w:r>
        <w:rPr>
          <w:sz w:val="24"/>
          <w:szCs w:val="24"/>
        </w:rPr>
        <w:t>Solicitar, ao Requerente por intermédio da Comissão Especial de Regularização Fundiária Urbana do Município complementação na documentação ou nas informações prestadas;</w:t>
      </w:r>
    </w:p>
    <w:p>
      <w:pPr>
        <w:pStyle w:val="Normal"/>
        <w:numPr>
          <w:ilvl w:val="0"/>
          <w:numId w:val="2"/>
        </w:numPr>
        <w:spacing w:lineRule="auto" w:line="360"/>
        <w:ind w:hanging="360" w:left="720"/>
        <w:jc w:val="both"/>
        <w:rPr>
          <w:rFonts w:ascii="Arial" w:hAnsi="Arial"/>
          <w:sz w:val="24"/>
          <w:szCs w:val="24"/>
        </w:rPr>
      </w:pPr>
      <w:r>
        <w:rPr>
          <w:sz w:val="24"/>
          <w:szCs w:val="24"/>
        </w:rPr>
        <w:t>Orientar a Comissão Especial de Regularização Fundiária quanto à classificação de cada processo da modalidade da REURB;</w:t>
      </w:r>
    </w:p>
    <w:p>
      <w:pPr>
        <w:pStyle w:val="Normal"/>
        <w:numPr>
          <w:ilvl w:val="0"/>
          <w:numId w:val="2"/>
        </w:numPr>
        <w:spacing w:lineRule="auto" w:line="360"/>
        <w:ind w:hanging="360" w:left="720"/>
        <w:jc w:val="both"/>
        <w:rPr>
          <w:rFonts w:ascii="Arial" w:hAnsi="Arial"/>
          <w:sz w:val="24"/>
          <w:szCs w:val="24"/>
        </w:rPr>
      </w:pPr>
      <w:r>
        <w:rPr>
          <w:sz w:val="24"/>
          <w:szCs w:val="24"/>
        </w:rPr>
        <w:t>Elaborar em conjunto com a Comissão Especial de Regularização Fundiária, relatório final de cada processo da REURB contendo documentação pertinente, minuta da Certidão de Regularização Fundiária e outros documentos que se fizerem necessários;</w:t>
      </w:r>
    </w:p>
    <w:p>
      <w:pPr>
        <w:pStyle w:val="Normal"/>
        <w:numPr>
          <w:ilvl w:val="0"/>
          <w:numId w:val="2"/>
        </w:numPr>
        <w:spacing w:lineRule="auto" w:line="360"/>
        <w:ind w:hanging="360" w:left="720"/>
        <w:jc w:val="both"/>
        <w:rPr>
          <w:rFonts w:ascii="Arial" w:hAnsi="Arial"/>
          <w:sz w:val="24"/>
          <w:szCs w:val="24"/>
        </w:rPr>
      </w:pPr>
      <w:r>
        <w:rPr>
          <w:sz w:val="24"/>
          <w:szCs w:val="24"/>
        </w:rPr>
        <w:t>Acompanhar o andamento dos processos de abertura de matrícula imobiliária junto ao Cartório de Registros de Imóveis da COMARCA, orientando a Comissão Especial supracitada até a resolução de eventuais notas de exigências expedidas pelo cartório;</w:t>
      </w:r>
    </w:p>
    <w:p>
      <w:pPr>
        <w:pStyle w:val="Normal"/>
        <w:numPr>
          <w:ilvl w:val="0"/>
          <w:numId w:val="2"/>
        </w:numPr>
        <w:spacing w:lineRule="auto" w:line="360"/>
        <w:ind w:hanging="360" w:left="720"/>
        <w:jc w:val="both"/>
        <w:rPr>
          <w:rFonts w:ascii="Arial" w:hAnsi="Arial"/>
          <w:sz w:val="24"/>
          <w:szCs w:val="24"/>
        </w:rPr>
      </w:pPr>
      <w:r>
        <w:rPr>
          <w:sz w:val="24"/>
          <w:szCs w:val="24"/>
        </w:rPr>
        <w:t>Acompanhar a emissão de Termo de Encerramento e demais providências que sejam necessárias até a efetiva entrega da escritura individualizada para cada morador.</w:t>
      </w:r>
    </w:p>
    <w:p>
      <w:pPr>
        <w:pStyle w:val="Normal"/>
        <w:numPr>
          <w:ilvl w:val="0"/>
          <w:numId w:val="2"/>
        </w:numPr>
        <w:spacing w:lineRule="auto" w:line="360"/>
        <w:ind w:hanging="360" w:left="720"/>
        <w:jc w:val="both"/>
        <w:rPr>
          <w:rFonts w:ascii="Arial" w:hAnsi="Arial"/>
          <w:sz w:val="24"/>
          <w:szCs w:val="24"/>
        </w:rPr>
      </w:pPr>
      <w:r>
        <w:rPr>
          <w:sz w:val="24"/>
          <w:szCs w:val="24"/>
        </w:rPr>
        <w:t>A empresa contratada deverá apresentar os profissionais Responsáveis Técnicos através de entrega de ART dentro do prazo de 05 (cinco) dias após a contratação.</w:t>
      </w:r>
    </w:p>
    <w:p>
      <w:pPr>
        <w:pStyle w:val="Normal"/>
        <w:numPr>
          <w:ilvl w:val="0"/>
          <w:numId w:val="2"/>
        </w:numPr>
        <w:spacing w:lineRule="auto" w:line="360"/>
        <w:ind w:hanging="360" w:left="720"/>
        <w:jc w:val="both"/>
        <w:rPr>
          <w:rFonts w:ascii="Arial" w:hAnsi="Arial"/>
          <w:sz w:val="24"/>
          <w:szCs w:val="24"/>
        </w:rPr>
      </w:pPr>
      <w:r>
        <w:rPr>
          <w:sz w:val="24"/>
          <w:szCs w:val="24"/>
        </w:rPr>
        <w:t>A empresa contratada deverá ter em seu quadro de funcionários</w:t>
      </w:r>
      <w:r>
        <w:rPr>
          <w:rFonts w:eastAsia="Arial" w:cs="Arial"/>
          <w:color w:val="auto"/>
          <w:kern w:val="0"/>
          <w:sz w:val="24"/>
          <w:szCs w:val="24"/>
          <w:lang w:val="pt-BR" w:eastAsia="zh-CN" w:bidi="hi-IN"/>
        </w:rPr>
        <w:t xml:space="preserve">  profissionais com especialidades técnicas e jurídicas, como engenheiros, arquitetos, topógrafos, assistentes sociais, advogados, além de profissionais do meio ambiente, c</w:t>
      </w:r>
      <w:r>
        <w:rPr>
          <w:rFonts w:eastAsia="Arial" w:cs="Arial"/>
          <w:b/>
          <w:bCs/>
          <w:color w:val="auto"/>
          <w:kern w:val="0"/>
          <w:sz w:val="24"/>
          <w:szCs w:val="24"/>
          <w:lang w:val="pt-BR" w:eastAsia="zh-CN" w:bidi="hi-IN"/>
        </w:rPr>
        <w:t>onforme necessidade para bom desenvolvimento do objetivo do presente Termo de Referência.</w:t>
      </w:r>
    </w:p>
    <w:p>
      <w:pPr>
        <w:pStyle w:val="Normal"/>
        <w:numPr>
          <w:ilvl w:val="0"/>
          <w:numId w:val="0"/>
        </w:numPr>
        <w:spacing w:lineRule="auto" w:line="360"/>
        <w:ind w:hanging="0" w:left="720"/>
        <w:jc w:val="both"/>
        <w:rPr>
          <w:rFonts w:ascii="Arial" w:hAnsi="Arial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numPr>
          <w:ilvl w:val="0"/>
          <w:numId w:val="0"/>
        </w:numPr>
        <w:spacing w:lineRule="auto" w:line="360"/>
        <w:ind w:hanging="0" w:left="720"/>
        <w:jc w:val="both"/>
        <w:rPr>
          <w:rFonts w:ascii="Arial" w:hAnsi="Arial"/>
          <w:sz w:val="24"/>
          <w:szCs w:val="24"/>
        </w:rPr>
      </w:pPr>
      <w:r>
        <w:rPr>
          <w:b/>
          <w:bCs/>
          <w:sz w:val="24"/>
          <w:szCs w:val="24"/>
        </w:rPr>
        <w:t xml:space="preserve">4.2 Fundamentação jurídica: </w:t>
      </w:r>
      <w:r>
        <w:rPr>
          <w:sz w:val="24"/>
          <w:szCs w:val="24"/>
        </w:rPr>
        <w:t>A presente contratação encontra amparo legal nos seguintes dispositivos:</w:t>
      </w:r>
    </w:p>
    <w:p>
      <w:pPr>
        <w:pStyle w:val="Normal"/>
        <w:numPr>
          <w:ilvl w:val="0"/>
          <w:numId w:val="2"/>
        </w:numPr>
        <w:spacing w:lineRule="auto" w:line="360"/>
        <w:ind w:hanging="360" w:left="720"/>
        <w:jc w:val="both"/>
        <w:rPr>
          <w:rFonts w:ascii="Arial" w:hAnsi="Arial"/>
          <w:sz w:val="24"/>
          <w:szCs w:val="24"/>
          <w:u w:val="none"/>
        </w:rPr>
      </w:pPr>
      <w:r>
        <w:rPr>
          <w:sz w:val="24"/>
          <w:szCs w:val="24"/>
          <w:u w:val="none"/>
        </w:rPr>
        <w:t>Lei Federal nº 13.465/2017, que dispõe sobre a regularização fundiária rural e urbana no território nacional;</w:t>
      </w:r>
    </w:p>
    <w:p>
      <w:pPr>
        <w:pStyle w:val="Normal"/>
        <w:numPr>
          <w:ilvl w:val="0"/>
          <w:numId w:val="2"/>
        </w:numPr>
        <w:spacing w:lineRule="auto" w:line="360"/>
        <w:ind w:hanging="360" w:left="720"/>
        <w:jc w:val="both"/>
        <w:rPr>
          <w:rFonts w:ascii="Arial" w:hAnsi="Arial"/>
          <w:sz w:val="24"/>
          <w:szCs w:val="24"/>
          <w:u w:val="none"/>
        </w:rPr>
      </w:pPr>
      <w:r>
        <w:rPr>
          <w:sz w:val="24"/>
          <w:szCs w:val="24"/>
          <w:u w:val="none"/>
        </w:rPr>
        <w:t>Decreto Federal nº 9.310/2018, que regulamenta dispositivos da Lei nº 13.465/2017;</w:t>
      </w:r>
    </w:p>
    <w:p>
      <w:pPr>
        <w:pStyle w:val="Normal"/>
        <w:numPr>
          <w:ilvl w:val="0"/>
          <w:numId w:val="2"/>
        </w:numPr>
        <w:spacing w:lineRule="auto" w:line="360"/>
        <w:ind w:hanging="360" w:left="720"/>
        <w:jc w:val="both"/>
        <w:rPr>
          <w:rFonts w:ascii="Arial" w:hAnsi="Arial"/>
          <w:sz w:val="24"/>
          <w:szCs w:val="24"/>
          <w:u w:val="none"/>
        </w:rPr>
      </w:pPr>
      <w:r>
        <w:rPr>
          <w:sz w:val="24"/>
          <w:szCs w:val="24"/>
          <w:u w:val="none"/>
        </w:rPr>
        <w:t>Lei nº 14.133/2021, conforme o caso;</w:t>
      </w:r>
    </w:p>
    <w:p>
      <w:pPr>
        <w:pStyle w:val="Normal"/>
        <w:numPr>
          <w:ilvl w:val="0"/>
          <w:numId w:val="2"/>
        </w:numPr>
        <w:spacing w:lineRule="auto" w:line="360"/>
        <w:ind w:hanging="360" w:left="720"/>
        <w:jc w:val="both"/>
        <w:rPr>
          <w:rFonts w:ascii="Arial" w:hAnsi="Arial"/>
          <w:sz w:val="24"/>
          <w:szCs w:val="24"/>
          <w:u w:val="none"/>
        </w:rPr>
      </w:pPr>
      <w:r>
        <w:rPr>
          <w:sz w:val="24"/>
          <w:szCs w:val="24"/>
          <w:u w:val="none"/>
        </w:rPr>
        <w:t>Constituição Federal, artigos 182 e 183, que tratam da política urbana e da função social da propriedade;</w:t>
      </w:r>
    </w:p>
    <w:p>
      <w:pPr>
        <w:pStyle w:val="Normal"/>
        <w:numPr>
          <w:ilvl w:val="0"/>
          <w:numId w:val="2"/>
        </w:numPr>
        <w:spacing w:lineRule="auto" w:line="360"/>
        <w:ind w:hanging="360" w:left="720"/>
        <w:jc w:val="both"/>
        <w:rPr>
          <w:rFonts w:ascii="Arial" w:hAnsi="Arial"/>
          <w:sz w:val="24"/>
          <w:szCs w:val="24"/>
          <w:u w:val="none"/>
        </w:rPr>
      </w:pPr>
      <w:r>
        <w:rPr>
          <w:sz w:val="24"/>
          <w:szCs w:val="24"/>
          <w:u w:val="none"/>
        </w:rPr>
        <w:t>Estatuto da Cidade (Lei Federal nº 10.257/2001), especialmente quanto à política de regularização fundiária e à promoção da função social da cidade;</w:t>
      </w:r>
    </w:p>
    <w:p>
      <w:pPr>
        <w:pStyle w:val="Normal"/>
        <w:numPr>
          <w:ilvl w:val="0"/>
          <w:numId w:val="2"/>
        </w:numPr>
        <w:spacing w:lineRule="auto" w:line="360"/>
        <w:ind w:hanging="360" w:left="720"/>
        <w:jc w:val="both"/>
        <w:rPr>
          <w:rFonts w:ascii="Arial" w:hAnsi="Arial"/>
          <w:sz w:val="24"/>
          <w:szCs w:val="24"/>
          <w:u w:val="none"/>
        </w:rPr>
      </w:pPr>
      <w:r>
        <w:rPr>
          <w:sz w:val="24"/>
          <w:szCs w:val="24"/>
          <w:u w:val="none"/>
        </w:rPr>
        <w:t>Lei nº 6.766/1979, dispõe sobre o parcelamento do solo urbano;</w:t>
      </w:r>
    </w:p>
    <w:p>
      <w:pPr>
        <w:pStyle w:val="Normal"/>
        <w:numPr>
          <w:ilvl w:val="0"/>
          <w:numId w:val="2"/>
        </w:numPr>
        <w:spacing w:lineRule="auto" w:line="360"/>
        <w:ind w:hanging="360" w:left="720"/>
        <w:jc w:val="both"/>
        <w:rPr>
          <w:rFonts w:ascii="Arial" w:hAnsi="Arial"/>
          <w:sz w:val="24"/>
          <w:szCs w:val="24"/>
          <w:u w:val="none"/>
        </w:rPr>
      </w:pPr>
      <w:r>
        <w:rPr>
          <w:sz w:val="24"/>
          <w:szCs w:val="24"/>
          <w:u w:val="none"/>
        </w:rPr>
        <w:t>Lei nº 12.651/2012, Código Florestal (quanto à recuperação de APP);</w:t>
      </w:r>
    </w:p>
    <w:p>
      <w:pPr>
        <w:pStyle w:val="Normal"/>
        <w:numPr>
          <w:ilvl w:val="0"/>
          <w:numId w:val="2"/>
        </w:numPr>
        <w:spacing w:lineRule="auto" w:line="360"/>
        <w:ind w:hanging="360" w:left="720"/>
        <w:jc w:val="both"/>
        <w:rPr>
          <w:rFonts w:ascii="Arial" w:hAnsi="Arial"/>
          <w:sz w:val="24"/>
          <w:szCs w:val="24"/>
          <w:u w:val="none"/>
        </w:rPr>
      </w:pPr>
      <w:r>
        <w:rPr>
          <w:sz w:val="24"/>
          <w:szCs w:val="24"/>
          <w:u w:val="none"/>
        </w:rPr>
        <w:t>Lei Orgânica do Município de Ronda Alta;</w:t>
      </w:r>
    </w:p>
    <w:p>
      <w:pPr>
        <w:pStyle w:val="Normal"/>
        <w:numPr>
          <w:ilvl w:val="0"/>
          <w:numId w:val="2"/>
        </w:numPr>
        <w:spacing w:lineRule="auto" w:line="360"/>
        <w:ind w:hanging="360" w:left="720"/>
        <w:jc w:val="both"/>
        <w:rPr>
          <w:rFonts w:ascii="Arial" w:hAnsi="Arial"/>
          <w:sz w:val="24"/>
          <w:szCs w:val="24"/>
          <w:u w:val="none"/>
        </w:rPr>
      </w:pPr>
      <w:r>
        <w:rPr>
          <w:sz w:val="24"/>
          <w:szCs w:val="24"/>
          <w:u w:val="none"/>
        </w:rPr>
        <w:t>Termo de Ajustamento de Conduta – Ministério Público de Ronda Alta.</w:t>
      </w:r>
    </w:p>
    <w:p>
      <w:pPr>
        <w:pStyle w:val="Normal"/>
        <w:numPr>
          <w:ilvl w:val="0"/>
          <w:numId w:val="2"/>
        </w:numPr>
        <w:spacing w:lineRule="auto" w:line="360"/>
        <w:ind w:hanging="360" w:left="720"/>
        <w:jc w:val="both"/>
        <w:rPr>
          <w:rFonts w:ascii="Arial" w:hAnsi="Arial"/>
          <w:sz w:val="24"/>
          <w:szCs w:val="24"/>
          <w:u w:val="none"/>
        </w:rPr>
      </w:pPr>
      <w:r>
        <w:rPr>
          <w:sz w:val="24"/>
          <w:szCs w:val="24"/>
          <w:u w:val="none"/>
        </w:rPr>
        <w:t>Demais legislações pertinentes à contratação pública e à regularização fundiária urbana.</w:t>
      </w:r>
    </w:p>
    <w:p>
      <w:pPr>
        <w:pStyle w:val="Normal"/>
        <w:numPr>
          <w:ilvl w:val="0"/>
          <w:numId w:val="0"/>
        </w:numPr>
        <w:spacing w:lineRule="auto" w:line="360"/>
        <w:ind w:hanging="0" w:left="720"/>
        <w:jc w:val="both"/>
        <w:rPr>
          <w:rFonts w:ascii="Arial" w:hAnsi="Arial"/>
          <w:sz w:val="24"/>
          <w:szCs w:val="24"/>
          <w:u w:val="none"/>
        </w:rPr>
      </w:pPr>
      <w:r>
        <w:rPr>
          <w:sz w:val="24"/>
          <w:szCs w:val="24"/>
          <w:u w:val="none"/>
        </w:rPr>
      </w:r>
    </w:p>
    <w:p>
      <w:pPr>
        <w:pStyle w:val="Normal"/>
        <w:numPr>
          <w:ilvl w:val="0"/>
          <w:numId w:val="0"/>
        </w:numPr>
        <w:spacing w:lineRule="auto" w:line="360"/>
        <w:ind w:hanging="0" w:left="720"/>
        <w:jc w:val="both"/>
        <w:rPr>
          <w:rFonts w:ascii="Arial" w:hAnsi="Arial"/>
          <w:sz w:val="24"/>
          <w:szCs w:val="24"/>
          <w:u w:val="none"/>
        </w:rPr>
      </w:pPr>
      <w:r>
        <w:rPr>
          <w:sz w:val="24"/>
          <w:szCs w:val="24"/>
          <w:u w:val="none"/>
        </w:rPr>
      </w:r>
    </w:p>
    <w:p>
      <w:pPr>
        <w:pStyle w:val="normal1"/>
        <w:numPr>
          <w:ilvl w:val="0"/>
          <w:numId w:val="1"/>
        </w:numPr>
        <w:spacing w:lineRule="auto" w:line="360"/>
        <w:ind w:hanging="360" w:left="1040"/>
        <w:jc w:val="both"/>
        <w:rPr>
          <w:rFonts w:ascii="Arial" w:hAnsi="Arial"/>
          <w:sz w:val="24"/>
          <w:szCs w:val="24"/>
        </w:rPr>
      </w:pPr>
      <w:r>
        <w:rPr>
          <w:b/>
          <w:sz w:val="24"/>
          <w:szCs w:val="24"/>
        </w:rPr>
        <w:t>EXECUÇÃO DO OBJETO:</w:t>
      </w:r>
    </w:p>
    <w:p>
      <w:pPr>
        <w:pStyle w:val="normal1"/>
        <w:numPr>
          <w:ilvl w:val="0"/>
          <w:numId w:val="0"/>
        </w:numPr>
        <w:spacing w:lineRule="auto" w:line="360"/>
        <w:ind w:hanging="0" w:left="1040"/>
        <w:jc w:val="both"/>
        <w:rPr>
          <w:rFonts w:ascii="Arial" w:hAnsi="Arial"/>
          <w:sz w:val="24"/>
          <w:szCs w:val="24"/>
        </w:rPr>
      </w:pPr>
      <w:r>
        <w:rPr>
          <w:sz w:val="24"/>
          <w:szCs w:val="24"/>
        </w:rPr>
        <w:t>A execução do presente TR deverá ser de forma presencial, tendo como prazo total para execução do projeto 180 dias corridos, contados a partir da assinatura do contrato, sendo que o cronograma detalhado deverá ser apresentado pela empresa contratada após a formalização do contrato.</w:t>
      </w:r>
    </w:p>
    <w:p>
      <w:pPr>
        <w:pStyle w:val="normal1"/>
        <w:numPr>
          <w:ilvl w:val="0"/>
          <w:numId w:val="0"/>
        </w:numPr>
        <w:spacing w:lineRule="auto" w:line="360"/>
        <w:ind w:hanging="0" w:left="1040"/>
        <w:jc w:val="both"/>
        <w:rPr>
          <w:rFonts w:ascii="Arial" w:hAnsi="Arial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numPr>
          <w:ilvl w:val="0"/>
          <w:numId w:val="1"/>
        </w:numPr>
        <w:spacing w:lineRule="auto" w:line="360"/>
        <w:ind w:hanging="360" w:left="1040"/>
        <w:jc w:val="both"/>
        <w:rPr>
          <w:rFonts w:ascii="Arial" w:hAnsi="Arial"/>
          <w:sz w:val="24"/>
          <w:szCs w:val="24"/>
        </w:rPr>
      </w:pPr>
      <w:r>
        <w:rPr>
          <w:b/>
          <w:sz w:val="24"/>
          <w:szCs w:val="24"/>
        </w:rPr>
        <w:t>GESTÃO E FISCALIZAÇÃO DE CONTRATO:</w:t>
      </w:r>
    </w:p>
    <w:p>
      <w:pPr>
        <w:pStyle w:val="normal1"/>
        <w:spacing w:lineRule="auto" w:line="360"/>
        <w:ind w:firstLine="40" w:left="1400"/>
        <w:jc w:val="both"/>
        <w:rPr>
          <w:rFonts w:ascii="Arial" w:hAnsi="Arial"/>
          <w:sz w:val="24"/>
          <w:szCs w:val="24"/>
        </w:rPr>
      </w:pPr>
      <w:r>
        <w:rPr>
          <w:sz w:val="24"/>
          <w:szCs w:val="24"/>
        </w:rPr>
        <w:t>O Gestor indicado deverá ser o Sr. Eliomar José Rigo, matrícula nº 1287-4.</w:t>
      </w:r>
    </w:p>
    <w:p>
      <w:pPr>
        <w:pStyle w:val="normal1"/>
        <w:spacing w:lineRule="auto" w:line="360"/>
        <w:ind w:firstLine="720" w:left="720"/>
        <w:jc w:val="both"/>
        <w:rPr>
          <w:rFonts w:ascii="Arial" w:hAnsi="Arial"/>
          <w:sz w:val="24"/>
          <w:szCs w:val="24"/>
        </w:rPr>
      </w:pPr>
      <w:r>
        <w:rPr>
          <w:sz w:val="24"/>
          <w:szCs w:val="24"/>
        </w:rPr>
        <w:t xml:space="preserve">O Fiscalizador indicado deverá ser o Sr. Darnei Antônio Piccoli, matrícula nº 1288-2. </w:t>
      </w:r>
    </w:p>
    <w:p>
      <w:pPr>
        <w:pStyle w:val="normal1"/>
        <w:spacing w:lineRule="auto" w:line="360"/>
        <w:ind w:firstLine="720" w:left="720"/>
        <w:jc w:val="both"/>
        <w:rPr>
          <w:rFonts w:ascii="Arial" w:hAnsi="Arial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numPr>
          <w:ilvl w:val="0"/>
          <w:numId w:val="1"/>
        </w:numPr>
        <w:spacing w:lineRule="auto" w:line="360"/>
        <w:ind w:hanging="360" w:left="1040"/>
        <w:jc w:val="both"/>
        <w:rPr>
          <w:rFonts w:ascii="Arial" w:hAnsi="Arial"/>
          <w:sz w:val="24"/>
          <w:szCs w:val="24"/>
        </w:rPr>
      </w:pPr>
      <w:r>
        <w:rPr>
          <w:b/>
          <w:sz w:val="24"/>
          <w:szCs w:val="24"/>
        </w:rPr>
        <w:t>CRITÉRIOS DE MEDIÇÃO E PAGAMENTO:</w:t>
      </w:r>
    </w:p>
    <w:p>
      <w:pPr>
        <w:pStyle w:val="normal1"/>
        <w:spacing w:lineRule="auto" w:line="360"/>
        <w:ind w:firstLine="720" w:left="720"/>
        <w:jc w:val="both"/>
        <w:rPr>
          <w:rFonts w:ascii="Arial" w:hAnsi="Arial"/>
          <w:sz w:val="24"/>
          <w:szCs w:val="24"/>
        </w:rPr>
      </w:pPr>
      <w:r>
        <w:rPr>
          <w:sz w:val="24"/>
          <w:szCs w:val="24"/>
        </w:rPr>
        <w:t xml:space="preserve">O pagamento será realizado mediante apresentação de documento fiscal e relatório mensal de atividades desenvolvidas, os quais serão recebidos e atestados pelo fiscalizador, e se tudo estiver em acordo com o pactuado haverá o encaminhamento para procedimento de liquidação e pagamento. </w:t>
      </w:r>
    </w:p>
    <w:p>
      <w:pPr>
        <w:pStyle w:val="normal1"/>
        <w:spacing w:lineRule="auto" w:line="360"/>
        <w:ind w:firstLine="720" w:left="720"/>
        <w:jc w:val="both"/>
        <w:rPr>
          <w:rFonts w:ascii="Arial" w:hAnsi="Arial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numPr>
          <w:ilvl w:val="0"/>
          <w:numId w:val="1"/>
        </w:numPr>
        <w:spacing w:lineRule="auto" w:line="360"/>
        <w:ind w:hanging="360" w:left="1040"/>
        <w:jc w:val="both"/>
        <w:rPr>
          <w:rFonts w:ascii="Arial" w:hAnsi="Arial"/>
          <w:sz w:val="24"/>
          <w:szCs w:val="24"/>
        </w:rPr>
      </w:pPr>
      <w:r>
        <w:rPr>
          <w:b/>
          <w:sz w:val="24"/>
          <w:szCs w:val="24"/>
        </w:rPr>
        <w:t>FORMA E CRITÉRIOS DE AVALIAÇÃO DO FORNECEDOR:</w:t>
      </w:r>
    </w:p>
    <w:p>
      <w:pPr>
        <w:pStyle w:val="normal1"/>
        <w:spacing w:lineRule="auto" w:line="360"/>
        <w:ind w:firstLine="720" w:left="720"/>
        <w:jc w:val="both"/>
        <w:rPr>
          <w:rFonts w:ascii="Arial" w:hAnsi="Arial"/>
          <w:sz w:val="24"/>
          <w:szCs w:val="24"/>
        </w:rPr>
      </w:pPr>
      <w:r>
        <w:rPr>
          <w:sz w:val="24"/>
          <w:szCs w:val="24"/>
        </w:rPr>
        <w:t>O critério de julgamento para escolha do fornecedor deverá ser o menor preço.</w:t>
      </w:r>
    </w:p>
    <w:p>
      <w:pPr>
        <w:pStyle w:val="normal1"/>
        <w:spacing w:lineRule="auto" w:line="360"/>
        <w:ind w:firstLine="720" w:left="720"/>
        <w:jc w:val="both"/>
        <w:rPr>
          <w:rFonts w:ascii="Arial" w:hAnsi="Arial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numPr>
          <w:ilvl w:val="0"/>
          <w:numId w:val="1"/>
        </w:numPr>
        <w:spacing w:lineRule="auto" w:line="360"/>
        <w:ind w:hanging="360" w:left="1040"/>
        <w:jc w:val="both"/>
        <w:rPr>
          <w:rFonts w:ascii="Arial" w:hAnsi="Arial"/>
          <w:sz w:val="24"/>
          <w:szCs w:val="24"/>
        </w:rPr>
      </w:pPr>
      <w:r>
        <w:rPr>
          <w:b/>
          <w:sz w:val="24"/>
          <w:szCs w:val="24"/>
        </w:rPr>
        <w:t>ESTIMATIVA DO VALOR DA CONTRATAÇÃO:</w:t>
      </w:r>
    </w:p>
    <w:p>
      <w:pPr>
        <w:pStyle w:val="normal1"/>
        <w:spacing w:lineRule="auto" w:line="360"/>
        <w:ind w:firstLine="720" w:left="720"/>
        <w:jc w:val="both"/>
        <w:rPr>
          <w:rFonts w:ascii="Arial" w:hAnsi="Arial"/>
          <w:sz w:val="24"/>
          <w:szCs w:val="24"/>
        </w:rPr>
      </w:pPr>
      <w:r>
        <w:rPr>
          <w:sz w:val="24"/>
          <w:szCs w:val="24"/>
        </w:rPr>
        <w:t xml:space="preserve">O valor total estimado para a presente contratação é de </w:t>
      </w:r>
      <w:r>
        <w:rPr>
          <w:color w:val="000000"/>
          <w:sz w:val="24"/>
          <w:szCs w:val="24"/>
        </w:rPr>
        <w:t>R$ 9.990,00</w:t>
      </w:r>
      <w:r>
        <w:rPr>
          <w:sz w:val="24"/>
          <w:szCs w:val="24"/>
        </w:rPr>
        <w:t>, tendo como base a pesquisa de preços realizada pela Secretaria Municipal da Agricultura e Meio Ambiente. Conforme análise, o valor estimado está em sintonia com o praticado no mercado.</w:t>
      </w:r>
    </w:p>
    <w:p>
      <w:pPr>
        <w:pStyle w:val="normal1"/>
        <w:spacing w:lineRule="auto" w:line="360"/>
        <w:ind w:firstLine="720" w:left="720"/>
        <w:jc w:val="both"/>
        <w:rPr>
          <w:rFonts w:ascii="Arial" w:hAnsi="Arial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pacing w:lineRule="auto" w:line="360"/>
        <w:ind w:firstLine="720" w:left="720"/>
        <w:jc w:val="both"/>
        <w:rPr>
          <w:rFonts w:ascii="Arial" w:hAnsi="Arial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numPr>
          <w:ilvl w:val="0"/>
          <w:numId w:val="1"/>
        </w:numPr>
        <w:spacing w:lineRule="auto" w:line="360"/>
        <w:ind w:hanging="360" w:left="1040"/>
        <w:jc w:val="both"/>
        <w:rPr>
          <w:rFonts w:ascii="Arial" w:hAnsi="Arial"/>
          <w:sz w:val="24"/>
          <w:szCs w:val="24"/>
        </w:rPr>
      </w:pPr>
      <w:r>
        <w:rPr>
          <w:b/>
          <w:sz w:val="24"/>
          <w:szCs w:val="24"/>
        </w:rPr>
        <w:t>DOTAÇÃO ORÇAMENTÁRIA:</w:t>
      </w:r>
    </w:p>
    <w:p>
      <w:pPr>
        <w:pStyle w:val="normal1"/>
        <w:spacing w:lineRule="auto" w:line="360"/>
        <w:ind w:firstLine="720" w:left="720"/>
        <w:jc w:val="both"/>
        <w:rPr>
          <w:rFonts w:ascii="Arial" w:hAnsi="Arial"/>
          <w:sz w:val="24"/>
          <w:szCs w:val="24"/>
        </w:rPr>
      </w:pPr>
      <w:r>
        <w:rPr>
          <w:sz w:val="24"/>
          <w:szCs w:val="24"/>
        </w:rPr>
        <w:t xml:space="preserve">A presente aquisição/contratação utilizará a seguinte dotação orçamentária: </w:t>
      </w:r>
      <w:r>
        <w:rPr>
          <w:color w:val="000000"/>
          <w:sz w:val="24"/>
          <w:szCs w:val="24"/>
          <w:highlight w:val="white"/>
        </w:rPr>
        <w:t>0601 20 606 1008 2013 339039 05 00 00 00 1500.</w:t>
      </w:r>
    </w:p>
    <w:p>
      <w:pPr>
        <w:pStyle w:val="normal1"/>
        <w:spacing w:lineRule="auto" w:line="360"/>
        <w:ind w:firstLine="720" w:left="720"/>
        <w:jc w:val="both"/>
        <w:rPr>
          <w:rFonts w:ascii="Arial" w:hAnsi="Arial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pacing w:lineRule="auto" w:line="360"/>
        <w:ind w:firstLine="40" w:left="5720"/>
        <w:jc w:val="right"/>
        <w:rPr>
          <w:rFonts w:ascii="Arial" w:hAnsi="Arial"/>
          <w:sz w:val="24"/>
          <w:szCs w:val="24"/>
        </w:rPr>
      </w:pPr>
      <w:r>
        <w:rPr>
          <w:sz w:val="24"/>
          <w:szCs w:val="24"/>
        </w:rPr>
        <w:t>Ronda Alta,</w:t>
      </w:r>
      <w:r>
        <w:rPr>
          <w:color w:val="FF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21 de Maio de 2025.</w:t>
      </w:r>
    </w:p>
    <w:p>
      <w:pPr>
        <w:pStyle w:val="normal1"/>
        <w:spacing w:lineRule="auto" w:line="360"/>
        <w:ind w:firstLine="40" w:left="5720"/>
        <w:jc w:val="right"/>
        <w:rPr>
          <w:rFonts w:ascii="Arial" w:hAnsi="Arial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pacing w:lineRule="auto" w:line="360"/>
        <w:ind w:firstLine="567"/>
        <w:jc w:val="center"/>
        <w:rPr>
          <w:rFonts w:ascii="Arial" w:hAnsi="Arial"/>
          <w:sz w:val="24"/>
          <w:szCs w:val="24"/>
        </w:rPr>
      </w:pPr>
      <w:r>
        <w:rPr>
          <w:sz w:val="24"/>
          <w:szCs w:val="24"/>
        </w:rPr>
        <w:t>_____________________________________</w:t>
      </w:r>
    </w:p>
    <w:p>
      <w:pPr>
        <w:pStyle w:val="normal1"/>
        <w:spacing w:lineRule="auto" w:line="360"/>
        <w:ind w:firstLine="567"/>
        <w:jc w:val="center"/>
        <w:rPr>
          <w:rFonts w:ascii="Arial" w:hAnsi="Arial"/>
          <w:sz w:val="24"/>
          <w:szCs w:val="24"/>
        </w:rPr>
      </w:pPr>
      <w:r>
        <w:rPr>
          <w:sz w:val="24"/>
          <w:szCs w:val="24"/>
        </w:rPr>
        <w:t>Darnei Antônio Piccoli</w:t>
      </w:r>
    </w:p>
    <w:p>
      <w:pPr>
        <w:pStyle w:val="normal1"/>
        <w:spacing w:lineRule="auto" w:line="360"/>
        <w:ind w:firstLine="567"/>
        <w:jc w:val="center"/>
        <w:rPr>
          <w:rFonts w:ascii="Arial" w:hAnsi="Arial"/>
          <w:sz w:val="24"/>
          <w:szCs w:val="24"/>
        </w:rPr>
      </w:pPr>
      <w:r>
        <w:rPr>
          <w:sz w:val="24"/>
          <w:szCs w:val="24"/>
        </w:rPr>
        <w:t>Assessor Técnico Científico</w:t>
      </w:r>
    </w:p>
    <w:p>
      <w:pPr>
        <w:pStyle w:val="normal1"/>
        <w:spacing w:lineRule="auto" w:line="360"/>
        <w:ind w:firstLine="567"/>
        <w:jc w:val="center"/>
        <w:rPr>
          <w:rFonts w:ascii="Arial" w:hAnsi="Arial"/>
          <w:sz w:val="24"/>
          <w:szCs w:val="24"/>
        </w:rPr>
      </w:pPr>
      <w:r>
        <w:rPr>
          <w:sz w:val="24"/>
          <w:szCs w:val="24"/>
        </w:rPr>
        <w:t>Matrícula 1288-2</w:t>
      </w:r>
    </w:p>
    <w:sectPr>
      <w:headerReference w:type="even" r:id="rId4"/>
      <w:headerReference w:type="default" r:id="rId5"/>
      <w:headerReference w:type="first" r:id="rId6"/>
      <w:footerReference w:type="even" r:id="rId7"/>
      <w:footerReference w:type="default" r:id="rId8"/>
      <w:footerReference w:type="first" r:id="rId9"/>
      <w:type w:val="nextPage"/>
      <w:pgSz w:w="11906" w:h="16838"/>
      <w:pgMar w:left="1134" w:right="1134" w:gutter="0" w:header="1701" w:top="1758" w:footer="737" w:bottom="1418"/>
      <w:pgNumType w:start="1" w:fmt="decimal"/>
      <w:formProt w:val="false"/>
      <w:titlePg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Monotype Sorts">
    <w:charset w:val="00"/>
    <w:family w:val="roman"/>
    <w:pitch w:val="variable"/>
  </w:font>
  <w:font w:name="Courier New">
    <w:charset w:val="00"/>
    <w:family w:val="roman"/>
    <w:pitch w:val="variable"/>
  </w:font>
  <w:font w:name="Wingdings">
    <w:charset w:val="00"/>
    <w:family w:val="roman"/>
    <w:pitch w:val="variable"/>
  </w:font>
  <w:font w:name="Symbol">
    <w:charset w:val="00"/>
    <w:family w:val="roman"/>
    <w:pitch w:val="variable"/>
  </w:font>
  <w:font w:name="OpenSymbol">
    <w:altName w:val="Arial Unicode MS"/>
    <w:charset w:val="00"/>
    <w:family w:val="swiss"/>
    <w:pitch w:val="variable"/>
  </w:font>
  <w:font w:name="Liberation Sans">
    <w:altName w:val="Arial"/>
    <w:charset w:val="00"/>
    <w:family w:val="swiss"/>
    <w:pitch w:val="variable"/>
  </w:font>
  <w:font w:name="Wingdings">
    <w:charset w:val="02"/>
    <w:family w:val="auto"/>
    <w:pitch w:val="variable"/>
  </w:font>
  <w:font w:name="Wingdings 2">
    <w:charset w:val="02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tabs>
        <w:tab w:val="clear" w:pos="720"/>
        <w:tab w:val="center" w:pos="4419" w:leader="none"/>
        <w:tab w:val="right" w:pos="8838" w:leader="none"/>
      </w:tabs>
      <w:jc w:val="center"/>
      <w:rPr>
        <w:color w:val="000000"/>
        <w:sz w:val="12"/>
        <w:szCs w:val="12"/>
      </w:rPr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7</w:t>
    </w:r>
    <w:r>
      <w:rPr/>
      <w:fldChar w:fldCharType="end"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tabs>
        <w:tab w:val="clear" w:pos="720"/>
        <w:tab w:val="center" w:pos="4419" w:leader="none"/>
        <w:tab w:val="right" w:pos="8838" w:leader="none"/>
      </w:tabs>
      <w:rPr>
        <w:color w:val="000000"/>
      </w:rPr>
    </w:pPr>
    <w:r>
      <w:rPr>
        <w:color w:val="000000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tabs>
        <w:tab w:val="clear" w:pos="720"/>
        <w:tab w:val="center" w:pos="4419" w:leader="none"/>
        <w:tab w:val="right" w:pos="8838" w:leader="none"/>
      </w:tabs>
      <w:rPr>
        <w:color w:val="000000"/>
      </w:rPr>
    </w:pPr>
    <w:r>
      <w:rPr>
        <w:color w:val="000000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tabs>
        <w:tab w:val="clear" w:pos="720"/>
        <w:tab w:val="center" w:pos="4419" w:leader="none"/>
        <w:tab w:val="right" w:pos="8838" w:leader="none"/>
      </w:tabs>
      <w:rPr>
        <w:color w:val="000000"/>
      </w:rPr>
    </w:pPr>
    <w:r>
      <w:rPr>
        <w:color w:val="000000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1040" w:hanging="360"/>
      </w:pPr>
      <w:rPr>
        <w:u w:val="none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480" w:hanging="18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40" w:hanging="18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3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00" w:hanging="180"/>
      </w:pPr>
      <w:rPr>
        <w:u w:val="none"/>
      </w:rPr>
    </w:lvl>
  </w:abstractNum>
  <w:abstractNum w:abstractNumId="2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71"/>
  <w:displayBackgroundShape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zh-CN" w:bidi="hi-IN"/>
    </w:rPr>
  </w:style>
  <w:style w:type="paragraph" w:styleId="Heading1">
    <w:name w:val="heading 1"/>
    <w:basedOn w:val="normal1"/>
    <w:next w:val="normal1"/>
    <w:uiPriority w:val="9"/>
    <w:qFormat/>
    <w:pPr>
      <w:keepNext w:val="true"/>
      <w:numPr>
        <w:ilvl w:val="0"/>
        <w:numId w:val="2"/>
      </w:numPr>
      <w:spacing w:before="240" w:after="60"/>
      <w:outlineLvl w:val="0"/>
    </w:pPr>
    <w:rPr>
      <w:b/>
      <w:kern w:val="2"/>
      <w:sz w:val="28"/>
    </w:rPr>
  </w:style>
  <w:style w:type="paragraph" w:styleId="Heading2">
    <w:name w:val="heading 2"/>
    <w:basedOn w:val="normal1"/>
    <w:next w:val="normal1"/>
    <w:link w:val="Ttulo2Char"/>
    <w:uiPriority w:val="9"/>
    <w:semiHidden/>
    <w:unhideWhenUsed/>
    <w:qFormat/>
    <w:rsid w:val="00b96d5c"/>
    <w:pPr>
      <w:keepNext w:val="true"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Heading3">
    <w:name w:val="heading 3"/>
    <w:basedOn w:val="normal1"/>
    <w:next w:val="normal1"/>
    <w:link w:val="Ttulo3Char"/>
    <w:uiPriority w:val="9"/>
    <w:semiHidden/>
    <w:unhideWhenUsed/>
    <w:qFormat/>
    <w:rsid w:val="00b96d5c"/>
    <w:pPr>
      <w:keepNext w:val="true"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</w:rPr>
  </w:style>
  <w:style w:type="paragraph" w:styleId="Heading4">
    <w:name w:val="heading 4"/>
    <w:basedOn w:val="normal1"/>
    <w:next w:val="normal1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</w:rPr>
  </w:style>
  <w:style w:type="paragraph" w:styleId="Heading6">
    <w:name w:val="heading 6"/>
    <w:basedOn w:val="normal1"/>
    <w:next w:val="normal1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1"/>
    <w:next w:val="normal1"/>
    <w:link w:val="Ttulo7Char"/>
    <w:qFormat/>
    <w:rsid w:val="00b96d5c"/>
    <w:pPr>
      <w:keepNext w:val="true"/>
      <w:numPr>
        <w:ilvl w:val="6"/>
        <w:numId w:val="1"/>
      </w:numPr>
      <w:tabs>
        <w:tab w:val="clear" w:pos="720"/>
        <w:tab w:val="left" w:pos="2835" w:leader="none"/>
      </w:tabs>
      <w:spacing w:lineRule="exact" w:line="280"/>
      <w:ind w:hanging="57" w:left="57" w:right="57"/>
      <w:jc w:val="center"/>
      <w:outlineLvl w:val="6"/>
    </w:pPr>
    <w:rPr>
      <w:rFonts w:ascii="Times New Roman" w:hAnsi="Times New Roman" w:cs="Times New Roman"/>
      <w:b/>
      <w:spacing w:val="14"/>
      <w:sz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Fontepargpadro4" w:customStyle="1">
    <w:name w:val="Fonte parág. padrão4"/>
    <w:qFormat/>
    <w:rPr/>
  </w:style>
  <w:style w:type="character" w:styleId="Absatz-Standardschriftart" w:customStyle="1">
    <w:name w:val="Absatz-Standardschriftart"/>
    <w:qFormat/>
    <w:rPr/>
  </w:style>
  <w:style w:type="character" w:styleId="Fontepargpadro3" w:customStyle="1">
    <w:name w:val="Fonte parág. padrão3"/>
    <w:qFormat/>
    <w:rPr/>
  </w:style>
  <w:style w:type="character" w:styleId="WW-Absatz-Standardschriftart" w:customStyle="1">
    <w:name w:val="WW-Absatz-Standardschriftart"/>
    <w:qFormat/>
    <w:rPr/>
  </w:style>
  <w:style w:type="character" w:styleId="Fontepargpadro2" w:customStyle="1">
    <w:name w:val="Fonte parág. padrão2"/>
    <w:qFormat/>
    <w:rPr/>
  </w:style>
  <w:style w:type="character" w:styleId="WW-Absatz-Standardschriftart1" w:customStyle="1">
    <w:name w:val="WW-Absatz-Standardschriftart1"/>
    <w:qFormat/>
    <w:rPr/>
  </w:style>
  <w:style w:type="character" w:styleId="WW-Absatz-Standardschriftart11" w:customStyle="1">
    <w:name w:val="WW-Absatz-Standardschriftart11"/>
    <w:qFormat/>
    <w:rPr/>
  </w:style>
  <w:style w:type="character" w:styleId="WW-Absatz-Standardschriftart111" w:customStyle="1">
    <w:name w:val="WW-Absatz-Standardschriftart111"/>
    <w:qFormat/>
    <w:rPr/>
  </w:style>
  <w:style w:type="character" w:styleId="WW-Absatz-Standardschriftart1111" w:customStyle="1">
    <w:name w:val="WW-Absatz-Standardschriftart1111"/>
    <w:qFormat/>
    <w:rPr/>
  </w:style>
  <w:style w:type="character" w:styleId="WW-Absatz-Standardschriftart11111" w:customStyle="1">
    <w:name w:val="WW-Absatz-Standardschriftart11111"/>
    <w:qFormat/>
    <w:rPr/>
  </w:style>
  <w:style w:type="character" w:styleId="Fontepargpadro1" w:customStyle="1">
    <w:name w:val="Fonte parág. padrão1"/>
    <w:qFormat/>
    <w:rPr/>
  </w:style>
  <w:style w:type="character" w:styleId="PageNumber">
    <w:name w:val="page number"/>
    <w:basedOn w:val="Fontepargpadro1"/>
    <w:rPr/>
  </w:style>
  <w:style w:type="character" w:styleId="Caracteresdenotaderodap" w:customStyle="1">
    <w:name w:val="Caracteres de nota de rodapé"/>
    <w:qFormat/>
    <w:rPr>
      <w:vertAlign w:val="superscript"/>
    </w:rPr>
  </w:style>
  <w:style w:type="character" w:styleId="Refdenotaderodap1" w:customStyle="1">
    <w:name w:val="Ref. de nota de rodapé1"/>
    <w:qFormat/>
    <w:rPr>
      <w:vertAlign w:val="superscript"/>
    </w:rPr>
  </w:style>
  <w:style w:type="character" w:styleId="Caracteresdenotadefim" w:customStyle="1">
    <w:name w:val="Caracteres de nota de fim"/>
    <w:qFormat/>
    <w:rPr>
      <w:vertAlign w:val="superscript"/>
    </w:rPr>
  </w:style>
  <w:style w:type="character" w:styleId="WW-Caracteresdenotadefim" w:customStyle="1">
    <w:name w:val="WW-Caracteres de nota de fim"/>
    <w:qFormat/>
    <w:rPr/>
  </w:style>
  <w:style w:type="character" w:styleId="Smbolosdenumerao" w:customStyle="1">
    <w:name w:val="Símbolos de numeração"/>
    <w:qFormat/>
    <w:rPr/>
  </w:style>
  <w:style w:type="character" w:styleId="Refdenotadefim1" w:customStyle="1">
    <w:name w:val="Ref. de nota de fim1"/>
    <w:qFormat/>
    <w:rPr>
      <w:vertAlign w:val="superscript"/>
    </w:rPr>
  </w:style>
  <w:style w:type="character" w:styleId="Refdenotaderodap2" w:customStyle="1">
    <w:name w:val="Ref. de nota de rodapé2"/>
    <w:qFormat/>
    <w:rPr>
      <w:vertAlign w:val="superscript"/>
    </w:rPr>
  </w:style>
  <w:style w:type="character" w:styleId="Refdenotadefim2" w:customStyle="1">
    <w:name w:val="Ref. de nota de fim2"/>
    <w:qFormat/>
    <w:rPr>
      <w:vertAlign w:val="superscript"/>
    </w:rPr>
  </w:style>
  <w:style w:type="character" w:styleId="Refdenotaderodap3" w:customStyle="1">
    <w:name w:val="Ref. de nota de rodapé3"/>
    <w:qFormat/>
    <w:rPr>
      <w:vertAlign w:val="superscript"/>
    </w:rPr>
  </w:style>
  <w:style w:type="character" w:styleId="Refdenotadefim3" w:customStyle="1">
    <w:name w:val="Ref. de nota de fim3"/>
    <w:qFormat/>
    <w:rPr>
      <w:vertAlign w:val="superscript"/>
    </w:rPr>
  </w:style>
  <w:style w:type="character" w:styleId="Caracteresdenotaderodapuser">
    <w:name w:val="Caracteres de nota de rodapé (user)"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Caracteresdenotadefimuser">
    <w:name w:val="Caracteres de nota de fim (user)"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RodapChar" w:customStyle="1">
    <w:name w:val="Rodapé Char"/>
    <w:uiPriority w:val="99"/>
    <w:qFormat/>
    <w:rsid w:val="00502e0d"/>
    <w:rPr>
      <w:rFonts w:ascii="Arial" w:hAnsi="Arial" w:cs="Arial"/>
      <w:sz w:val="22"/>
      <w:lang w:eastAsia="zh-CN"/>
    </w:rPr>
  </w:style>
  <w:style w:type="character" w:styleId="Refdenotaderodap5" w:customStyle="1">
    <w:name w:val="Ref. de nota de rodapé5"/>
    <w:qFormat/>
    <w:rsid w:val="00e80693"/>
    <w:rPr>
      <w:vertAlign w:val="superscript"/>
    </w:rPr>
  </w:style>
  <w:style w:type="character" w:styleId="TextodebaloChar" w:customStyle="1">
    <w:name w:val="Texto de balão Char"/>
    <w:link w:val="BalloonText"/>
    <w:qFormat/>
    <w:rsid w:val="00c90f73"/>
    <w:rPr>
      <w:rFonts w:ascii="Segoe UI" w:hAnsi="Segoe UI" w:cs="Segoe UI"/>
      <w:sz w:val="18"/>
      <w:szCs w:val="18"/>
      <w:lang w:eastAsia="zh-CN"/>
    </w:rPr>
  </w:style>
  <w:style w:type="character" w:styleId="Hyperlink">
    <w:name w:val="Hyperlink"/>
    <w:uiPriority w:val="99"/>
    <w:unhideWhenUsed/>
    <w:rsid w:val="0089786b"/>
    <w:rPr>
      <w:color w:val="0563C1"/>
      <w:u w:val="single"/>
    </w:rPr>
  </w:style>
  <w:style w:type="character" w:styleId="MenoPendente1" w:customStyle="1">
    <w:name w:val="Menção Pendente1"/>
    <w:uiPriority w:val="99"/>
    <w:semiHidden/>
    <w:unhideWhenUsed/>
    <w:qFormat/>
    <w:rsid w:val="0089786b"/>
    <w:rPr>
      <w:color w:val="808080"/>
      <w:shd w:fill="E6E6E6" w:val="clear"/>
    </w:rPr>
  </w:style>
  <w:style w:type="character" w:styleId="FollowedHyperlink">
    <w:name w:val="FollowedHyperlink"/>
    <w:basedOn w:val="DefaultParagraphFont"/>
    <w:uiPriority w:val="99"/>
    <w:semiHidden/>
    <w:unhideWhenUsed/>
    <w:rsid w:val="00ac6de8"/>
    <w:rPr>
      <w:color w:themeColor="followedHyperlink" w:val="954F72"/>
      <w:u w:val="single"/>
    </w:rPr>
  </w:style>
  <w:style w:type="character" w:styleId="Ttulo2Char" w:customStyle="1">
    <w:name w:val="Título 2 Char"/>
    <w:basedOn w:val="DefaultParagraphFont"/>
    <w:semiHidden/>
    <w:qFormat/>
    <w:rsid w:val="00b96d5c"/>
    <w:rPr>
      <w:rFonts w:ascii="Calibri Light" w:hAnsi="Calibri Light"/>
      <w:b/>
      <w:bCs/>
      <w:i/>
      <w:iCs/>
      <w:sz w:val="28"/>
      <w:szCs w:val="28"/>
    </w:rPr>
  </w:style>
  <w:style w:type="character" w:styleId="Ttulo3Char" w:customStyle="1">
    <w:name w:val="Título 3 Char"/>
    <w:basedOn w:val="DefaultParagraphFont"/>
    <w:semiHidden/>
    <w:qFormat/>
    <w:rsid w:val="00b96d5c"/>
    <w:rPr>
      <w:rFonts w:ascii="Calibri Light" w:hAnsi="Calibri Light"/>
      <w:b/>
      <w:bCs/>
      <w:sz w:val="26"/>
      <w:szCs w:val="26"/>
    </w:rPr>
  </w:style>
  <w:style w:type="character" w:styleId="Ttulo7Char" w:customStyle="1">
    <w:name w:val="Título 7 Char"/>
    <w:basedOn w:val="DefaultParagraphFont"/>
    <w:qFormat/>
    <w:rsid w:val="00b96d5c"/>
    <w:rPr>
      <w:b/>
      <w:spacing w:val="14"/>
      <w:sz w:val="24"/>
    </w:rPr>
  </w:style>
  <w:style w:type="character" w:styleId="WW8Num2z0" w:customStyle="1">
    <w:name w:val="WW8Num2z0"/>
    <w:qFormat/>
    <w:rsid w:val="00b96d5c"/>
    <w:rPr>
      <w:rFonts w:ascii="Monotype Sorts" w:hAnsi="Monotype Sorts"/>
    </w:rPr>
  </w:style>
  <w:style w:type="character" w:styleId="WW8Num3z0" w:customStyle="1">
    <w:name w:val="WW8Num3z0"/>
    <w:qFormat/>
    <w:rsid w:val="00b96d5c"/>
    <w:rPr>
      <w:b/>
    </w:rPr>
  </w:style>
  <w:style w:type="character" w:styleId="WW8Num4z0" w:customStyle="1">
    <w:name w:val="WW8Num4z0"/>
    <w:qFormat/>
    <w:rsid w:val="00b96d5c"/>
    <w:rPr>
      <w:rFonts w:ascii="Times New Roman" w:hAnsi="Times New Roman" w:eastAsia="Times New Roman" w:cs="Times New Roman"/>
    </w:rPr>
  </w:style>
  <w:style w:type="character" w:styleId="WW8Num4z1" w:customStyle="1">
    <w:name w:val="WW8Num4z1"/>
    <w:qFormat/>
    <w:rsid w:val="00b96d5c"/>
    <w:rPr>
      <w:rFonts w:ascii="Courier New" w:hAnsi="Courier New"/>
    </w:rPr>
  </w:style>
  <w:style w:type="character" w:styleId="WW8Num4z2" w:customStyle="1">
    <w:name w:val="WW8Num4z2"/>
    <w:qFormat/>
    <w:rsid w:val="00b96d5c"/>
    <w:rPr>
      <w:rFonts w:ascii="Wingdings" w:hAnsi="Wingdings"/>
    </w:rPr>
  </w:style>
  <w:style w:type="character" w:styleId="WW8Num4z3" w:customStyle="1">
    <w:name w:val="WW8Num4z3"/>
    <w:qFormat/>
    <w:rsid w:val="00b96d5c"/>
    <w:rPr>
      <w:rFonts w:ascii="Symbol" w:hAnsi="Symbol"/>
    </w:rPr>
  </w:style>
  <w:style w:type="character" w:styleId="WW8Num5z0" w:customStyle="1">
    <w:name w:val="WW8Num5z0"/>
    <w:qFormat/>
    <w:rsid w:val="00b96d5c"/>
    <w:rPr>
      <w:rFonts w:ascii="Times New Roman" w:hAnsi="Times New Roman"/>
      <w:b/>
    </w:rPr>
  </w:style>
  <w:style w:type="character" w:styleId="WW8Num6z0" w:customStyle="1">
    <w:name w:val="WW8Num6z0"/>
    <w:qFormat/>
    <w:rsid w:val="00b96d5c"/>
    <w:rPr>
      <w:b/>
    </w:rPr>
  </w:style>
  <w:style w:type="character" w:styleId="WW8Num7z0" w:customStyle="1">
    <w:name w:val="WW8Num7z0"/>
    <w:qFormat/>
    <w:rsid w:val="00b96d5c"/>
    <w:rPr>
      <w:b/>
    </w:rPr>
  </w:style>
  <w:style w:type="character" w:styleId="Marcadoresuser">
    <w:name w:val="Marcadores (user)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1"/>
    <w:pPr>
      <w:widowControl w:val="false"/>
      <w:suppressAutoHyphens w:val="true"/>
      <w:jc w:val="both"/>
    </w:pPr>
    <w:rPr>
      <w:rFonts w:ascii="Times New Roman" w:hAnsi="Times New Roman" w:cs="Times New Roman"/>
      <w:sz w:val="28"/>
    </w:rPr>
  </w:style>
  <w:style w:type="paragraph" w:styleId="List">
    <w:name w:val="List"/>
    <w:basedOn w:val="BodyText"/>
    <w:pPr/>
    <w:rPr>
      <w:rFonts w:cs="Tahoma"/>
    </w:rPr>
  </w:style>
  <w:style w:type="paragraph" w:styleId="Caption">
    <w:name w:val="caption"/>
    <w:basedOn w:val="normal1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 w:customStyle="1">
    <w:name w:val="Índice"/>
    <w:basedOn w:val="normal1"/>
    <w:qFormat/>
    <w:pPr>
      <w:suppressLineNumbers/>
    </w:pPr>
    <w:rPr>
      <w:rFonts w:cs="Tahoma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/>
      <w:suppressAutoHyphens w:val="true"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zh-CN" w:bidi="hi-IN"/>
    </w:rPr>
  </w:style>
  <w:style w:type="paragraph" w:styleId="Title">
    <w:name w:val="Title"/>
    <w:basedOn w:val="normal1"/>
    <w:next w:val="normal1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Ttulo3" w:customStyle="1">
    <w:name w:val="Título3"/>
    <w:basedOn w:val="normal1"/>
    <w:next w:val="BodyText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tulo2" w:customStyle="1">
    <w:name w:val="Título2"/>
    <w:basedOn w:val="normal1"/>
    <w:next w:val="BodyText"/>
    <w:qFormat/>
    <w:pPr>
      <w:keepNext w:val="true"/>
      <w:spacing w:before="240" w:after="120"/>
    </w:pPr>
    <w:rPr>
      <w:rFonts w:eastAsia="Lucida Sans Unicode" w:cs="Mangal"/>
      <w:sz w:val="28"/>
      <w:szCs w:val="28"/>
    </w:rPr>
  </w:style>
  <w:style w:type="paragraph" w:styleId="Legenda3" w:customStyle="1">
    <w:name w:val="Legenda3"/>
    <w:basedOn w:val="normal1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Ttulo1" w:customStyle="1">
    <w:name w:val="Título1"/>
    <w:basedOn w:val="normal1"/>
    <w:next w:val="BodyText"/>
    <w:qFormat/>
    <w:pPr>
      <w:keepNext w:val="true"/>
      <w:spacing w:before="240" w:after="120"/>
    </w:pPr>
    <w:rPr>
      <w:rFonts w:eastAsia="Lucida Sans Unicode" w:cs="Tahoma"/>
      <w:sz w:val="28"/>
      <w:szCs w:val="28"/>
    </w:rPr>
  </w:style>
  <w:style w:type="paragraph" w:styleId="Legenda2" w:customStyle="1">
    <w:name w:val="Legenda2"/>
    <w:basedOn w:val="normal1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Captulo" w:customStyle="1">
    <w:name w:val="Capítulo"/>
    <w:basedOn w:val="normal1"/>
    <w:next w:val="BodyText"/>
    <w:qFormat/>
    <w:pPr>
      <w:keepNext w:val="true"/>
      <w:spacing w:before="240" w:after="120"/>
    </w:pPr>
    <w:rPr>
      <w:rFonts w:eastAsia="Lucida Sans Unicode" w:cs="Tahoma"/>
      <w:sz w:val="28"/>
      <w:szCs w:val="28"/>
    </w:rPr>
  </w:style>
  <w:style w:type="paragraph" w:styleId="Legenda1" w:customStyle="1">
    <w:name w:val="Legenda1"/>
    <w:basedOn w:val="normal1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Subtitle">
    <w:name w:val="Subtitle"/>
    <w:basedOn w:val="normal1"/>
    <w:next w:val="normal1"/>
    <w:uiPriority w:val="11"/>
    <w:qFormat/>
    <w:pPr>
      <w:keepNext w:val="true"/>
      <w:spacing w:lineRule="auto" w:line="240" w:before="240" w:after="120"/>
      <w:jc w:val="center"/>
    </w:pPr>
    <w:rPr>
      <w:i/>
      <w:sz w:val="28"/>
      <w:szCs w:val="28"/>
    </w:rPr>
  </w:style>
  <w:style w:type="paragraph" w:styleId="Cabealhoerodapuser">
    <w:name w:val="Cabeçalho e rodapé (user)"/>
    <w:basedOn w:val="Normal"/>
    <w:qFormat/>
    <w:pPr/>
    <w:rPr/>
  </w:style>
  <w:style w:type="paragraph" w:styleId="Cabealhoerodap">
    <w:name w:val="Cabeçalho e rodapé"/>
    <w:basedOn w:val="Normal"/>
    <w:qFormat/>
    <w:pPr/>
    <w:rPr/>
  </w:style>
  <w:style w:type="paragraph" w:styleId="Footer">
    <w:name w:val="footer"/>
    <w:basedOn w:val="normal1"/>
    <w:link w:val="RodapChar"/>
    <w:uiPriority w:val="99"/>
    <w:pPr>
      <w:tabs>
        <w:tab w:val="clear" w:pos="720"/>
        <w:tab w:val="center" w:pos="4419" w:leader="none"/>
        <w:tab w:val="right" w:pos="8838" w:leader="none"/>
      </w:tabs>
    </w:pPr>
    <w:rPr/>
  </w:style>
  <w:style w:type="paragraph" w:styleId="Header">
    <w:name w:val="header"/>
    <w:basedOn w:val="normal1"/>
    <w:pPr>
      <w:tabs>
        <w:tab w:val="clear" w:pos="720"/>
        <w:tab w:val="center" w:pos="4419" w:leader="none"/>
        <w:tab w:val="right" w:pos="8838" w:leader="none"/>
      </w:tabs>
    </w:pPr>
    <w:rPr/>
  </w:style>
  <w:style w:type="paragraph" w:styleId="JE1" w:customStyle="1">
    <w:name w:val="JE1"/>
    <w:basedOn w:val="Heading1"/>
    <w:qFormat/>
    <w:pPr>
      <w:numPr>
        <w:ilvl w:val="0"/>
        <w:numId w:val="0"/>
      </w:numPr>
      <w:suppressAutoHyphens w:val="true"/>
      <w:jc w:val="center"/>
    </w:pPr>
    <w:rPr/>
  </w:style>
  <w:style w:type="paragraph" w:styleId="BodyTextIndent">
    <w:name w:val="Body Text Indent"/>
    <w:basedOn w:val="normal1"/>
    <w:pPr>
      <w:suppressAutoHyphens w:val="true"/>
      <w:ind w:left="2410"/>
      <w:jc w:val="both"/>
    </w:pPr>
    <w:rPr>
      <w:b/>
      <w:sz w:val="24"/>
    </w:rPr>
  </w:style>
  <w:style w:type="paragraph" w:styleId="FootnoteText">
    <w:name w:val="footnote text"/>
    <w:basedOn w:val="normal1"/>
    <w:pPr>
      <w:suppressAutoHyphens w:val="true"/>
    </w:pPr>
    <w:rPr>
      <w:rFonts w:ascii="Times New Roman" w:hAnsi="Times New Roman" w:cs="Times New Roman"/>
      <w:sz w:val="20"/>
    </w:rPr>
  </w:style>
  <w:style w:type="paragraph" w:styleId="Corpodetexto21" w:customStyle="1">
    <w:name w:val="Corpo de texto 21"/>
    <w:basedOn w:val="normal1"/>
    <w:qFormat/>
    <w:pPr>
      <w:jc w:val="both"/>
    </w:pPr>
    <w:rPr/>
  </w:style>
  <w:style w:type="paragraph" w:styleId="Contedodetabela" w:customStyle="1">
    <w:name w:val="Conteúdo de tabela"/>
    <w:basedOn w:val="normal1"/>
    <w:qFormat/>
    <w:pPr>
      <w:suppressLineNumbers/>
    </w:pPr>
    <w:rPr/>
  </w:style>
  <w:style w:type="paragraph" w:styleId="Contedodatabela" w:customStyle="1">
    <w:name w:val="Conteúdo da tabela"/>
    <w:basedOn w:val="normal1"/>
    <w:qFormat/>
    <w:pPr>
      <w:suppressLineNumbers/>
    </w:pPr>
    <w:rPr/>
  </w:style>
  <w:style w:type="paragraph" w:styleId="Ttulodetabela" w:customStyle="1">
    <w:name w:val="Título de tabela"/>
    <w:basedOn w:val="Contedodetabela"/>
    <w:qFormat/>
    <w:pPr>
      <w:jc w:val="center"/>
    </w:pPr>
    <w:rPr>
      <w:b/>
      <w:bCs/>
    </w:rPr>
  </w:style>
  <w:style w:type="paragraph" w:styleId="Contedodequadro" w:customStyle="1">
    <w:name w:val="Conteúdo de quadro"/>
    <w:basedOn w:val="BodyText"/>
    <w:qFormat/>
    <w:pPr/>
    <w:rPr/>
  </w:style>
  <w:style w:type="paragraph" w:styleId="Ttulodatabela" w:customStyle="1">
    <w:name w:val="Título da tabela"/>
    <w:basedOn w:val="Contedodatabela"/>
    <w:qFormat/>
    <w:pPr>
      <w:jc w:val="center"/>
    </w:pPr>
    <w:rPr>
      <w:b/>
      <w:bCs/>
    </w:rPr>
  </w:style>
  <w:style w:type="paragraph" w:styleId="Contedodoquadro" w:customStyle="1">
    <w:name w:val="Conteúdo do quadro"/>
    <w:basedOn w:val="BodyText"/>
    <w:qFormat/>
    <w:pPr/>
    <w:rPr/>
  </w:style>
  <w:style w:type="paragraph" w:styleId="BalloonText">
    <w:name w:val="Balloon Text"/>
    <w:basedOn w:val="normal1"/>
    <w:link w:val="TextodebaloChar"/>
    <w:unhideWhenUsed/>
    <w:qFormat/>
    <w:rsid w:val="00c90f73"/>
    <w:pPr/>
    <w:rPr>
      <w:rFonts w:ascii="Segoe UI" w:hAnsi="Segoe UI" w:cs="Segoe UI"/>
      <w:sz w:val="18"/>
      <w:szCs w:val="18"/>
    </w:rPr>
  </w:style>
  <w:style w:type="paragraph" w:styleId="Textoembloco1" w:customStyle="1">
    <w:name w:val="Texto em bloco1"/>
    <w:basedOn w:val="normal1"/>
    <w:qFormat/>
    <w:rsid w:val="00b96d5c"/>
    <w:pPr>
      <w:ind w:firstLine="1134" w:left="4253" w:right="57"/>
      <w:jc w:val="both"/>
    </w:pPr>
    <w:rPr>
      <w:rFonts w:cs="Times New Roman"/>
      <w:i/>
      <w:spacing w:val="14"/>
    </w:rPr>
  </w:style>
  <w:style w:type="paragraph" w:styleId="texto2" w:customStyle="1">
    <w:name w:val="texto2"/>
    <w:basedOn w:val="normal1"/>
    <w:qFormat/>
    <w:rsid w:val="00b96d5c"/>
    <w:pPr>
      <w:spacing w:beforeAutospacing="1" w:afterAutospacing="1"/>
    </w:pPr>
    <w:rPr>
      <w:rFonts w:ascii="Times New Roman" w:hAnsi="Times New Roman" w:cs="Times New Roman"/>
      <w:sz w:val="24"/>
      <w:szCs w:val="24"/>
      <w:lang w:eastAsia="pt-BR"/>
    </w:rPr>
  </w:style>
  <w:style w:type="paragraph" w:styleId="04partenormativa" w:customStyle="1">
    <w:name w:val="04partenormativa"/>
    <w:basedOn w:val="normal1"/>
    <w:qFormat/>
    <w:rsid w:val="00b96d5c"/>
    <w:pPr>
      <w:spacing w:beforeAutospacing="1" w:afterAutospacing="1"/>
    </w:pPr>
    <w:rPr>
      <w:rFonts w:ascii="Times New Roman" w:hAnsi="Times New Roman" w:cs="Times New Roman"/>
      <w:sz w:val="24"/>
      <w:szCs w:val="24"/>
      <w:lang w:eastAsia="pt-BR"/>
    </w:rPr>
  </w:style>
  <w:style w:type="paragraph" w:styleId="ListParagraph">
    <w:name w:val="List Paragraph"/>
    <w:basedOn w:val="normal1"/>
    <w:uiPriority w:val="34"/>
    <w:qFormat/>
    <w:rsid w:val="00e07291"/>
    <w:pPr>
      <w:spacing w:before="0" w:after="0"/>
      <w:ind w:left="720"/>
      <w:contextualSpacing/>
    </w:pPr>
    <w:rPr/>
  </w:style>
  <w:style w:type="paragraph" w:styleId="NormalWeb">
    <w:name w:val="Normal (Web)"/>
    <w:basedOn w:val="normal1"/>
    <w:uiPriority w:val="99"/>
    <w:unhideWhenUsed/>
    <w:qFormat/>
    <w:rsid w:val="005e4757"/>
    <w:pPr>
      <w:spacing w:beforeAutospacing="1" w:afterAutospacing="1"/>
    </w:pPr>
    <w:rPr>
      <w:rFonts w:ascii="Times New Roman" w:hAnsi="Times New Roman" w:cs="Times New Roman"/>
      <w:sz w:val="24"/>
      <w:szCs w:val="24"/>
      <w:lang w:eastAsia="pt-BR"/>
    </w:rPr>
  </w:style>
  <w:style w:type="numbering" w:styleId="Semlistauser" w:default="1">
    <w:name w:val="Sem lista (user)"/>
    <w:uiPriority w:val="99"/>
    <w:semiHidden/>
    <w:unhideWhenUsed/>
    <w:qFormat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rsid w:val="00b96d5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1+m/dDLF2BXZseC7n+hEIsCv1IA==">CgMxLjAyEGtpeC53MTdtd2s0Y3Rlc3g4AHIhMUtSVUR1d2VPakFtb1d3SVdNSVJzMTl1T1BNb25aWUln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272</TotalTime>
  <Application>LibreOffice/25.2.2.2$Windows_X86_64 LibreOffice_project/7370d4be9e3cf6031a51beef54ff3bda878e3fac</Application>
  <AppVersion>15.0000</AppVersion>
  <Pages>4</Pages>
  <Words>1429</Words>
  <Characters>8222</Characters>
  <CharactersWithSpaces>9546</CharactersWithSpaces>
  <Paragraphs>77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2023-09-17T13:21:00Z</dcterms:created>
  <dc:creator>Marcia Bello</dc:creator>
  <dc:description/>
  <dc:language>pt-BR</dc:language>
  <cp:lastModifiedBy/>
  <cp:lastPrinted>2025-05-21T09:34:20Z</cp:lastPrinted>
  <dcterms:modified xsi:type="dcterms:W3CDTF">2025-05-21T09:34:37Z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