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8948" w:type="dxa"/>
        <w:jc w:val="left"/>
        <w:tblInd w:w="6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rPr/>
        <w:tc>
          <w:tcPr>
            <w:tcW w:w="89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FFFFFF" w:val="clear"/>
          </w:tcPr>
          <w:p>
            <w:pPr>
              <w:pStyle w:val="normal1"/>
              <w:widowControl/>
              <w:suppressAutoHyphens w:val="true"/>
              <w:overflowPunct w:val="true"/>
              <w:bidi w:val="0"/>
              <w:spacing w:lineRule="auto" w:line="276" w:before="0" w:after="0"/>
              <w:ind w:hanging="0" w:left="-1531" w:right="11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TERMO DE REFERÊNCIA</w:t>
            </w:r>
          </w:p>
          <w:p>
            <w:pPr>
              <w:pStyle w:val="normal1"/>
              <w:widowControl/>
              <w:suppressAutoHyphens w:val="true"/>
              <w:overflowPunct w:val="true"/>
              <w:bidi w:val="0"/>
              <w:spacing w:lineRule="auto" w:line="276" w:before="0" w:after="0"/>
              <w:ind w:hanging="0" w:left="-1531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Normal"/>
        <w:suppressAutoHyphens w:val="true"/>
        <w:spacing w:lineRule="auto" w:line="276"/>
        <w:ind w:hanging="0" w:left="-850" w:right="0"/>
        <w:jc w:val="both"/>
        <w:rPr>
          <w:rFonts w:ascii="Arial" w:hAnsi="Arial" w:eastAsia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val="000000"/>
          <w:sz w:val="24"/>
          <w:szCs w:val="24"/>
          <w:lang w:eastAsia="pt-BR"/>
        </w:rPr>
        <w:t>PROCESSO ADMINISTRATIVO</w:t>
      </w:r>
    </w:p>
    <w:p>
      <w:pPr>
        <w:pStyle w:val="Normal"/>
        <w:suppressAutoHyphens w:val="true"/>
        <w:spacing w:lineRule="auto" w:line="276"/>
        <w:ind w:hanging="0" w:left="-850" w:right="0"/>
        <w:jc w:val="both"/>
        <w:rPr>
          <w:rFonts w:ascii="Arial" w:hAnsi="Arial"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Município de Ronda Alta</w:t>
      </w:r>
    </w:p>
    <w:p>
      <w:pPr>
        <w:pStyle w:val="Normal"/>
        <w:suppressAutoHyphens w:val="true"/>
        <w:spacing w:lineRule="auto" w:line="276"/>
        <w:ind w:hanging="0" w:left="-850" w:right="0"/>
        <w:jc w:val="both"/>
        <w:rPr>
          <w:rFonts w:ascii="Arial" w:hAnsi="Arial"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val="000000"/>
          <w:sz w:val="24"/>
          <w:szCs w:val="24"/>
          <w:lang w:eastAsia="pt-BR"/>
        </w:rPr>
        <w:t>Necessidade da Administração:</w:t>
      </w:r>
      <w:r>
        <w:rPr>
          <w:rFonts w:eastAsia="Times New Roman"/>
          <w:color w:val="000000"/>
          <w:sz w:val="24"/>
          <w:szCs w:val="24"/>
          <w:lang w:eastAsia="pt-BR"/>
        </w:rPr>
        <w:t xml:space="preserve"> Aquisição de materiais de copa e cozinha para atender as necessidades das cozinhas das escolas municipais Arco Íris, Alderi Facchi, Mem de Sá e Vó Elmira Guiland.</w:t>
      </w:r>
    </w:p>
    <w:p>
      <w:pPr>
        <w:pStyle w:val="Normal"/>
        <w:suppressAutoHyphens w:val="true"/>
        <w:spacing w:lineRule="auto" w:line="276"/>
        <w:ind w:firstLine="850" w:left="-850" w:right="0"/>
        <w:jc w:val="both"/>
        <w:rPr>
          <w:rFonts w:ascii="Arial" w:hAnsi="Arial"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76"/>
        <w:ind w:hanging="0" w:left="-850" w:right="0"/>
        <w:jc w:val="both"/>
        <w:rPr>
          <w:rFonts w:ascii="Arial" w:hAnsi="Arial" w:eastAsia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val="000000"/>
          <w:sz w:val="24"/>
          <w:szCs w:val="24"/>
          <w:lang w:eastAsia="pt-BR"/>
        </w:rPr>
        <w:t>DESCRIÇÃO DO OBJETO:</w:t>
      </w:r>
    </w:p>
    <w:p>
      <w:pPr>
        <w:pStyle w:val="Normal"/>
        <w:suppressAutoHyphens w:val="true"/>
        <w:spacing w:lineRule="auto" w:line="276"/>
        <w:ind w:firstLine="850" w:left="-850" w:right="0"/>
        <w:jc w:val="both"/>
        <w:rPr>
          <w:rFonts w:ascii="Arial" w:hAnsi="Arial"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O presente Termo de Referência tem por objeto a dispensa de licitação para aquisição de materiais de copa e cozinha para atender as necessidades das cozinhas das escolas municipais Arco Íris, Alderi Facchi, Mem de Sá e Vó Elmira Guiland sendo os objetos os seguintes: </w:t>
      </w:r>
    </w:p>
    <w:p>
      <w:pPr>
        <w:pStyle w:val="normal1"/>
        <w:widowControl/>
        <w:tabs>
          <w:tab w:val="clear" w:pos="720"/>
          <w:tab w:val="left" w:pos="1656" w:leader="none"/>
        </w:tabs>
        <w:suppressAutoHyphens w:val="true"/>
        <w:overflowPunct w:val="true"/>
        <w:bidi w:val="0"/>
        <w:spacing w:lineRule="auto" w:line="240" w:before="0" w:after="0"/>
        <w:ind w:firstLine="680" w:left="-850" w:right="0"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</w:r>
    </w:p>
    <w:tbl>
      <w:tblPr>
        <w:tblW w:w="9916" w:type="dxa"/>
        <w:jc w:val="left"/>
        <w:tblInd w:w="-771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515"/>
        <w:gridCol w:w="6524"/>
        <w:gridCol w:w="797"/>
        <w:gridCol w:w="1079"/>
      </w:tblGrid>
      <w:tr>
        <w:trPr>
          <w:trHeight w:val="675" w:hRule="atLeast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6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UNID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QUANT.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Assadeira quadrada em vidro com tampa de 1,5L. Deve possuir selo para uso em micro-ondas, forno e congelador.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Assadeira quadrada em vidro com tampa de 2,4L. Deve possuir selo para uso em micro-ondas, forno e congelador.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Assadeira quadrada em vidro com tampa de 700ml. Deve possuir selo para uso em micro-ondas, forno e congelador.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Assadeira retangular em vidro com tampa de 3L. Deve possuir selo para uso em micro-ondas, forno e congelador.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Bacia plástica com capacidade para 5,2L em plástico transparente e resistente.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NSimSun" w:cs="Lucida Sans"/>
                <w:b w:val="false"/>
                <w:bCs w:val="false"/>
                <w:color w:val="000000"/>
                <w:kern w:val="2"/>
                <w:sz w:val="24"/>
                <w:szCs w:val="24"/>
                <w:u w:val="none"/>
                <w:lang w:val="pt-BR" w:eastAsia="zh-CN" w:bidi="hi-IN"/>
              </w:rPr>
              <w:t>Bacia plástica com capacidade para 8,6L em plástico transparente e resistente.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lang w:val="pt-BR" w:eastAsia="zh-CN" w:bidi="hi-IN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lang w:val="pt-BR" w:eastAsia="zh-CN" w:bidi="hi-IN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Bacia plástica reforçada com tampa 10L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Bandeja bacia multiuso para alimentos/açougue branca 20L.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70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Batedor fouet profissional e reforçado com cabo plástico 45cm.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Botijão térmico 9L plástico com torneira.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Colher para servir arroz maciça em inox, 32cm. Sem cabo plástico ou em madeira.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/>
              <w:suppressAutoHyphens w:val="true"/>
              <w:bidi w:val="0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pt-BR" w:eastAsia="zh-CN"/>
              </w:rPr>
              <w:t>5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</w:rPr>
              <w:t>Colher para Sobremesa maciça em inox. Sem cabo plástico ou em madeira.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/>
              <w:suppressAutoHyphens w:val="true"/>
              <w:bidi w:val="0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pt-BR" w:eastAsia="zh-CN"/>
              </w:rPr>
              <w:t>140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Concha para feijão maciça em inox 22,30cm. Sem cabo plástico ou em madeira.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Escorredor de massa de alumínio com cabo 12L.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Contedodatabela"/>
              <w:snapToGrid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Escumadeira maciça em inox 33,40cm. Sem cabo plástico ou em madeira.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Espeto simples para churrasco com lâmina em aço inox e cabo de madeira 85 cm de comprimento.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Espremedor/amassador de Batata manual em Inox.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Faca de churrasco e frutas (serrinha) 5″ preta. Deve possuir lâmina em aço inox, cabo em polipropileno na cor preta e 22cm de comprimento.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Faca de cortar carne com lâmina em aço inox, de boa qualidade, cabo em polipropileno branco, 7’ polegadas.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/>
              <w:suppressAutoHyphens w:val="true"/>
              <w:bidi w:val="0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pt-BR" w:eastAsia="zh-CN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Facas de refeição, ponta redonda em inox. Sem cabo plástico ou em madeira.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/>
              <w:suppressAutoHyphens w:val="true"/>
              <w:bidi w:val="0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pt-BR" w:eastAsia="zh-CN"/>
              </w:rPr>
              <w:t>140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antiaderente para pão de queijo ou cupcake com 12 cavidades. Dimensões aproximadas: forminhas 6,5cm X 2,5cm e bandeja 35cm X 26cm.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redonda para pizza em alumínio 35cm.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Frigideira em Alumínio com Revestimento Interno e Externo em Starflon. Tamanho 20 cm de diâmetro.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</w:rPr>
              <w:t>Frigideira em Alumínio com Revestimento Interno e Externo em Starflon. Tamanho 30 cm de diâmetro.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Funil plástico transparente 19cm.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Garfo trinchante para carne, todo em aço inox. Medidas: 23,5cm de comprimento.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Garfos de refeição maciço em inox. Sem cabo plástico ou em madeira.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/>
              <w:suppressAutoHyphens w:val="true"/>
              <w:bidi w:val="0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pt-BR" w:eastAsia="zh-CN"/>
              </w:rPr>
              <w:t>140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/>
              <w:suppressAutoHyphens w:val="true"/>
              <w:bidi w:val="0"/>
              <w:spacing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pt-BR" w:eastAsia="zh-CN"/>
              </w:rPr>
              <w:t>Garrafa térmica 1,8L inox, parede dupla e serviço por pressão.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NSimSun" w:cs="Lucida Sans"/>
                <w:b w:val="false"/>
                <w:bCs w:val="false"/>
                <w:color w:val="000000"/>
                <w:kern w:val="2"/>
                <w:sz w:val="24"/>
                <w:szCs w:val="24"/>
                <w:u w:val="none"/>
                <w:lang w:val="pt-BR" w:eastAsia="zh-CN" w:bidi="hi-IN"/>
              </w:rPr>
              <w:t>Jarra de mesa com capacidade de 1,75L. Material vidro cristalino transparente com tampa plástica. Dimensões aproximadas: 23cm de altura, 16,8cm de largura e 14,6cm de profundidade.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de 5 formas plásticas para fechar pastel.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de 6 copos de vidro transparente long drink 410ml.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de funil plástico de diversos tamanhos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de peneiras plásticas de diversos tamanhos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 de talheres com cabo em inox e ponta em silicone. Pegador de massa, concha, colher de arroz, espátula curva, espátula tipo pão duro, escumadeira, fouet e pincel.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Leiteira/fervedor em inox 1,4L com cabo plástico reforçado.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Luva térmica para cozinha industrial. Luva para proteção de mãos e antebraços em tecido de algodão especial com tratamento que retardam as chamas, com forro interno destacável para higienização, reforço em aramida. Deve resistir até 350ºC.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Panela caçarola com tampa em ferro fundido 10L.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Panela caçarola com tampa industrial em alumínio 20L.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Panela caçarola com tampa industrial em alumínio 30L.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Panela de Pressão 7,5L, fechamento externo em Alumínio. Deve possuir 8 travas na tampa para vedação completa e duas válvulas adicionais para saída de pressão em caso de obstrução da válvula principal. Capacidade para 7,5L. Certificada pelo INMETRO e com 2 anos de garantia de fábrica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Panela de Pressão Profissional Fechamento Externo 18 Litros em Alumínio. Deve possuir 8 travas na tampa para vedação completa e duas válvulas adicionais para saída de pressão em caso de obstrução da válvula principal. Dimensões aproximadas: 29,5cm de altura, 36cm de largura, 44cm de comprimento. Capacidade para 15L. Certificada pelo INMETRO e com 2 anos de garantia de fábrica.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/>
              <w:suppressAutoHyphens w:val="true"/>
              <w:bidi w:val="0"/>
              <w:snapToGrid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pt-BR" w:eastAsia="zh-CN"/>
              </w:rPr>
              <w:t>1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Pegador de massas maciço em inox 29cm.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Peneira plástica 15cm branca.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Peneira plástica 18cm branca.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Pipoqueira em Alumínio Reforçado com capacidade de 6 Litros. Deve possuir cabo de baquelite com suporte de alumínio reforçado dentro do recipiente para movimento dos milhos. Especificações técnicas: Diâmetro: 25cm. Altura: 34,5cm. Litros: 6L.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Pote plástico retangular reforçado com tampa, produzido com material BPA Free, capacidade de 1 litros e cor clara. Deve possuir selo para uso em micro-ondas e congelador.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Pote plástico retangular reforçado com tampa, produzido com material BPA Free, capacidade de 2,34 litros e cor clara. Deve possuir selo para uso em micro-ondas e congelador.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Pote plástico retangular reforçado com tampa, produzido com material BPA Free, capacidade de 5 litros e cor clara. Deve possuir selo para uso em micro-ondas e congelador.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Pote quadrado em vidro com tampa de 2L. Deve possuir selo para uso em micro-ondas e congelador.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614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Pote quadrado em vidro com tampa de 500ml. Deve possuir selo para uso em micro-ondas e congelador.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Rolo de massa giratório plástico 30cm branco.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u w:val="none"/>
                <w:lang w:val="pt-BR" w:eastAsia="zh-CN" w:bidi="hi-IN"/>
              </w:rPr>
              <w:t>Tábua de corte na cor amarela, produzida em material PEAD – Polietileno de Alta Densidade. Dimensões: 30cm de comprimento, 25cm de largura e 8mm de espessura. Deve ser lisa e sem ranhuras ou rachaduras.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349" w:hRule="atLeast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u w:val="none"/>
                <w:lang w:val="pt-BR" w:eastAsia="zh-CN" w:bidi="hi-IN"/>
              </w:rPr>
              <w:t>Tábua de corte na cor verde, produzida em material PEAD – Polietileno de Alta Densidade. Dimensões: 30cm de comprimento, 25cm de largura e 8mm de espessura. Deve ser lisa e sem ranhuras ou rachaduras.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5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eastAsia="NSimSun" w:cs="Lucida Sans"/>
                <w:color w:val="000000"/>
                <w:kern w:val="2"/>
                <w:sz w:val="24"/>
                <w:szCs w:val="24"/>
                <w:u w:val="none"/>
                <w:lang w:val="pt-BR" w:eastAsia="zh-CN" w:bidi="hi-IN"/>
              </w:rPr>
              <w:t>Tábua de corte na cor vermelha, produzida em material PEAD – Polietileno de Alta Densidade. Dimensões: 30cm de comprimento, 25cm de largura e 8mm de espessura. Deve ser lisa e sem ranhuras ou rachaduras.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>
      <w:pPr>
        <w:pStyle w:val="Normal"/>
        <w:widowControl/>
        <w:tabs>
          <w:tab w:val="clear" w:pos="720"/>
          <w:tab w:val="left" w:pos="1656" w:leader="none"/>
        </w:tabs>
        <w:suppressAutoHyphens w:val="true"/>
        <w:overflowPunct w:val="true"/>
        <w:bidi w:val="0"/>
        <w:spacing w:lineRule="auto" w:line="240" w:before="0" w:after="0"/>
        <w:ind w:firstLine="680" w:left="-850" w:right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76"/>
        <w:ind w:firstLine="850" w:left="-850" w:right="0"/>
        <w:jc w:val="both"/>
        <w:rPr>
          <w:rFonts w:ascii="Arial" w:hAnsi="Arial"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</w:r>
    </w:p>
    <w:p>
      <w:pPr>
        <w:pStyle w:val="normal1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-51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FUNDAMENTAÇÃO:</w:t>
      </w:r>
    </w:p>
    <w:p>
      <w:pPr>
        <w:pStyle w:val="Normal"/>
        <w:suppressAutoHyphens w:val="true"/>
        <w:spacing w:lineRule="auto" w:line="276"/>
        <w:ind w:firstLine="850" w:left="-850" w:right="0"/>
        <w:jc w:val="both"/>
        <w:rPr/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A realização deste processo administrativo para o registro de preços para futura aquisição deste objeto, se justifica face ao interesse público presente na utilização dos produtos/serviços, com o objetivo de melhorar as condições para o seu desempenho, já que são necessárias ao bom funcionamento das repartições públicas deste município. </w:t>
      </w:r>
    </w:p>
    <w:p>
      <w:pPr>
        <w:pStyle w:val="Normal"/>
        <w:suppressAutoHyphens w:val="true"/>
        <w:spacing w:lineRule="auto" w:line="276"/>
        <w:ind w:firstLine="850" w:left="-850" w:right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A alimentação escolar é um dos pilares fundamentais para o desenvolvimento físico e cognitivo dos alunos da rede municipal de ensino. Para garantir a qualidade das refeições oferecidas, é imprescindível que os utensílios utilizados nas cozinhas escolares estejam em boas condições de uso, atendendo aos padrões de higiene, segurança e eficiência exigidos pelas normas sanitárias.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firstLine="850" w:left="-850" w:right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Com o passar do tempo e o uso contínuo e intenso dos utensílios — tais como panelas, colheres, escumadeiras, facas, tábuas de corte, bandejas e outros materiais — é natural que ocorra desgaste, deterioração e, em muitos casos, a inutilização parcial ou total desses itens. Essa situação compromete não apenas a eficiência no preparo das refeições, mas também representa um risco à saúde dos alunos, uma vez que materiais desgastados podem dificultar a higienização adequada e, consequentemente, favorecer a contaminação dos alimentos.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firstLine="850" w:left="-850" w:right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Diante disso, a substituição dos utensílios se faz necessária e urgente, com o objetivo de assegurar um ambiente de trabalho adequado para as equipes de merendeiras, promover a segurança alimentar e garantir a qualidade das refeições servidas aos estudantes. A renovação desses materiais também contribui para a valorização do trabalho dos profissionais da alimentação escolar e o cumprimento das diretrizes do Programa Nacional de Alimentação Escolar (PNAE), que preza pela oferta de uma alimentação saudável e segura. 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firstLine="850" w:left="-850" w:right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Portanto, a troca dos utensílios de cozinha nas escolas municipais justifica-se pela necessidade de manter padrões adequados de higiene, conservação e funcionalidade no preparo das refeições, refletindo diretamente na saúde e bem-estar dos alunos atendidos pela rede.</w:t>
      </w:r>
    </w:p>
    <w:p>
      <w:pPr>
        <w:pStyle w:val="Normal"/>
        <w:suppressAutoHyphens w:val="true"/>
        <w:spacing w:lineRule="auto" w:line="276"/>
        <w:ind w:firstLine="850" w:left="-850" w:right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No que se refere ao quantitativo do objeto disposto neste Termo de Referência, o mesmo foi mensurado levando-se em consideração a avaliação dos utensílios atualmente disponíveis nas unidades escolares, especialmente aqueles que se encontram deteriorados ou em condições inadequadas de uso. Tal estimativa baseou-se em visitas técnicas e demandas reportadas pelas próprias escolas, com o objetivo de garantir a reposição necessária para a produção da merenda escolar.</w:t>
      </w:r>
    </w:p>
    <w:p>
      <w:pPr>
        <w:pStyle w:val="Normal"/>
        <w:suppressAutoHyphens w:val="true"/>
        <w:spacing w:lineRule="auto" w:line="276"/>
        <w:ind w:firstLine="850" w:left="-850" w:right="0"/>
        <w:jc w:val="both"/>
        <w:rPr>
          <w:rFonts w:ascii="Arial" w:hAnsi="Arial"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-454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DESCRIÇÃO DA SOLUÇÃO COMO UM TODO:</w:t>
      </w:r>
    </w:p>
    <w:p>
      <w:pPr>
        <w:pStyle w:val="normal1"/>
        <w:widowControl/>
        <w:tabs>
          <w:tab w:val="clear" w:pos="720"/>
          <w:tab w:val="left" w:pos="-228" w:leader="none"/>
          <w:tab w:val="left" w:pos="336" w:leader="none"/>
        </w:tabs>
        <w:suppressAutoHyphens w:val="true"/>
        <w:overflowPunct w:val="true"/>
        <w:bidi w:val="0"/>
        <w:spacing w:lineRule="auto" w:line="276" w:before="0" w:after="0"/>
        <w:ind w:firstLine="624" w:left="-850" w:right="0"/>
        <w:jc w:val="both"/>
        <w:rPr>
          <w:rFonts w:ascii="Arial" w:hAnsi="Arial"/>
          <w:sz w:val="24"/>
          <w:szCs w:val="24"/>
        </w:rPr>
      </w:pPr>
      <w:r>
        <w:rPr>
          <w:color w:val="000000"/>
          <w:sz w:val="24"/>
          <w:szCs w:val="24"/>
        </w:rPr>
        <w:t>Considerando o conjunto de todos os elementos de forma integrada que compõem o presente Termo de Referência, se espera que a solução pretendida atenda de forma eficiente e eficaz todas as necessidades da demanda, visto que o objeto disposto trata-se de a</w:t>
      </w:r>
      <w:r>
        <w:rPr>
          <w:rFonts w:eastAsia="Times New Roman"/>
          <w:color w:val="000000"/>
          <w:sz w:val="24"/>
          <w:szCs w:val="24"/>
          <w:lang w:eastAsia="pt-BR"/>
        </w:rPr>
        <w:t>quisição de materiais de copa e cozinha para as cozinhas das escolas municipais, garantindo assim a funcionalidade na preparação da merenda escolar.</w:t>
      </w:r>
    </w:p>
    <w:p>
      <w:pPr>
        <w:pStyle w:val="normal1"/>
        <w:widowControl/>
        <w:suppressAutoHyphens w:val="true"/>
        <w:overflowPunct w:val="true"/>
        <w:bidi w:val="0"/>
        <w:spacing w:lineRule="auto" w:line="276" w:before="0" w:after="0"/>
        <w:ind w:firstLine="624" w:left="-850" w:right="0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tabs>
          <w:tab w:val="clear" w:pos="720"/>
          <w:tab w:val="left" w:pos="336" w:leader="none"/>
        </w:tabs>
        <w:suppressAutoHyphens w:val="true"/>
        <w:overflowPunct w:val="true"/>
        <w:bidi w:val="0"/>
        <w:spacing w:lineRule="auto" w:line="276" w:before="0" w:after="0"/>
        <w:ind w:hanging="0" w:left="-34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REQUISITOS DA AQUISIÇÃO:</w:t>
      </w:r>
    </w:p>
    <w:p>
      <w:pPr>
        <w:pStyle w:val="normal1"/>
        <w:widowControl/>
        <w:numPr>
          <w:ilvl w:val="0"/>
          <w:numId w:val="0"/>
        </w:numPr>
        <w:tabs>
          <w:tab w:val="clear" w:pos="720"/>
          <w:tab w:val="left" w:pos="336" w:leader="none"/>
        </w:tabs>
        <w:suppressAutoHyphens w:val="true"/>
        <w:overflowPunct w:val="true"/>
        <w:bidi w:val="0"/>
        <w:spacing w:lineRule="auto" w:line="276" w:before="0" w:after="0"/>
        <w:ind w:firstLine="624" w:left="-850" w:right="0"/>
        <w:jc w:val="both"/>
        <w:rPr>
          <w:rFonts w:ascii="Arial" w:hAnsi="Arial"/>
          <w:sz w:val="24"/>
          <w:szCs w:val="24"/>
        </w:rPr>
      </w:pPr>
      <w:r>
        <w:rPr>
          <w:rFonts w:cs="Arial"/>
          <w:b w:val="false"/>
          <w:bCs w:val="false"/>
          <w:color w:val="000000"/>
          <w:sz w:val="24"/>
          <w:szCs w:val="24"/>
        </w:rPr>
        <w:t>Para a aquisição dos materiais descritos, os eventuais interessados deverão comprovar que atuam no ramo da atividade compatível com o objeto da licitação, bem como apresentar todos os documentos a serem exigidos a título de habilitação, conforme descrito no edital.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680" w:right="0"/>
        <w:jc w:val="both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-34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EXECUÇÃO DO OBJETO:</w:t>
      </w:r>
    </w:p>
    <w:p>
      <w:pPr>
        <w:pStyle w:val="normal1"/>
        <w:numPr>
          <w:ilvl w:val="0"/>
          <w:numId w:val="0"/>
        </w:numPr>
        <w:tabs>
          <w:tab w:val="clear" w:pos="720"/>
          <w:tab w:val="left" w:pos="336" w:leader="none"/>
        </w:tabs>
        <w:spacing w:lineRule="auto" w:line="276"/>
        <w:ind w:firstLine="624" w:left="-850" w:right="0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Para a execução da aquisição dos itens, será avaliado a qualidade dos materiais no ato da entrega, e a empresa deverá cumprir fielmente com o objeto deste Termo de Referência. Em caso de descumprimento do objeto, será aberto Processo Administrativo para desclassificação da empresa.</w:t>
      </w:r>
    </w:p>
    <w:p>
      <w:pPr>
        <w:pStyle w:val="Normal"/>
        <w:spacing w:lineRule="auto" w:line="276"/>
        <w:ind w:hanging="0" w:left="680" w:right="0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-34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GESTÃO E FISCALIZAÇÃO DE CONTRATO:</w:t>
      </w:r>
    </w:p>
    <w:p>
      <w:pPr>
        <w:pStyle w:val="normal1"/>
        <w:widowControl/>
        <w:numPr>
          <w:ilvl w:val="0"/>
          <w:numId w:val="0"/>
        </w:numPr>
        <w:tabs>
          <w:tab w:val="clear" w:pos="720"/>
          <w:tab w:val="left" w:pos="-192" w:leader="none"/>
        </w:tabs>
        <w:suppressAutoHyphens w:val="true"/>
        <w:overflowPunct w:val="true"/>
        <w:bidi w:val="0"/>
        <w:spacing w:lineRule="auto" w:line="276" w:before="0" w:after="0"/>
        <w:ind w:firstLine="624" w:left="-850" w:right="0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A gestão e a fiscalização do objeto contratado serão realizadas pelas representantes da Contratante, para este fim especialmente designado. A gestora do contrato será a Secretária de Educação, Senhora Andréia Scarpin Noetzold e a fiscal dos serviços a Nutricionista Débora Inês Celso.</w:t>
      </w:r>
    </w:p>
    <w:p>
      <w:pPr>
        <w:pStyle w:val="normal1"/>
        <w:spacing w:lineRule="auto" w:line="276"/>
        <w:ind w:hanging="680" w:left="680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-34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CRITÉRIOS DE MEDIÇÃO E PAGAMENTO:</w:t>
      </w:r>
    </w:p>
    <w:p>
      <w:pPr>
        <w:pStyle w:val="normal1"/>
        <w:widowControl/>
        <w:suppressAutoHyphens w:val="true"/>
        <w:overflowPunct w:val="true"/>
        <w:bidi w:val="0"/>
        <w:spacing w:lineRule="auto" w:line="276" w:before="0" w:after="0"/>
        <w:ind w:firstLine="680" w:left="-850" w:right="0"/>
        <w:jc w:val="both"/>
        <w:rPr>
          <w:rFonts w:ascii="Arial" w:hAnsi="Arial"/>
          <w:sz w:val="24"/>
          <w:szCs w:val="24"/>
        </w:rPr>
      </w:pPr>
      <w:r>
        <w:rPr>
          <w:color w:val="000000"/>
          <w:sz w:val="24"/>
          <w:szCs w:val="24"/>
        </w:rPr>
        <w:t xml:space="preserve">O pagamento será realizado mediante apresentação de documento fiscal, o qual será recebido e atestado pelo fiscalizador, e se tudo estiver em acordo com o pactuado haverá o encaminhamento para procedimento de liquidação e pagamento. </w:t>
      </w:r>
    </w:p>
    <w:p>
      <w:pPr>
        <w:pStyle w:val="normal1"/>
        <w:spacing w:lineRule="auto" w:line="276"/>
        <w:ind w:hanging="680" w:left="680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-34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FORMA E CRITÉRIOS DE AVALIAÇÃO DO FORNECEDOR:</w:t>
      </w:r>
    </w:p>
    <w:p>
      <w:pPr>
        <w:pStyle w:val="normal1"/>
        <w:widowControl/>
        <w:suppressAutoHyphens w:val="true"/>
        <w:overflowPunct w:val="true"/>
        <w:bidi w:val="0"/>
        <w:spacing w:lineRule="auto" w:line="276" w:before="0" w:after="0"/>
        <w:ind w:firstLine="680" w:left="-850" w:right="0"/>
        <w:jc w:val="both"/>
        <w:rPr>
          <w:rFonts w:ascii="Arial" w:hAnsi="Arial"/>
          <w:sz w:val="24"/>
          <w:szCs w:val="24"/>
        </w:rPr>
      </w:pPr>
      <w:r>
        <w:rPr>
          <w:color w:val="000000"/>
          <w:sz w:val="24"/>
          <w:szCs w:val="24"/>
        </w:rPr>
        <w:t xml:space="preserve">O critério de julgamento para escolha do fornecedor deverá ser o menor preço de item. </w:t>
      </w:r>
    </w:p>
    <w:p>
      <w:pPr>
        <w:pStyle w:val="normal1"/>
        <w:widowControl/>
        <w:suppressAutoHyphens w:val="true"/>
        <w:overflowPunct w:val="true"/>
        <w:bidi w:val="0"/>
        <w:spacing w:lineRule="auto" w:line="276" w:before="0" w:after="0"/>
        <w:ind w:hanging="0" w:left="-850" w:right="0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-34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ESTIMATIVA DO VALOR DA CONTRATAÇÃO:</w:t>
      </w:r>
      <w:bookmarkStart w:id="0" w:name="bookmark=id.3znysh7"/>
      <w:bookmarkEnd w:id="0"/>
    </w:p>
    <w:p>
      <w:pPr>
        <w:pStyle w:val="normal1"/>
        <w:widowControl/>
        <w:suppressAutoHyphens w:val="true"/>
        <w:overflowPunct w:val="true"/>
        <w:bidi w:val="0"/>
        <w:spacing w:lineRule="auto" w:line="276" w:before="0" w:after="0"/>
        <w:ind w:firstLine="680" w:left="-850" w:right="0"/>
        <w:jc w:val="both"/>
        <w:rPr>
          <w:rFonts w:ascii="Arial" w:hAnsi="Arial"/>
          <w:sz w:val="24"/>
          <w:szCs w:val="24"/>
        </w:rPr>
      </w:pPr>
      <w:r>
        <w:rPr>
          <w:color w:val="000000"/>
          <w:sz w:val="24"/>
          <w:szCs w:val="24"/>
        </w:rPr>
        <w:t xml:space="preserve">O valor total estimado para a presente compra é de </w:t>
      </w:r>
      <w:r>
        <w:rPr>
          <w:rFonts w:eastAsia="NSimSun"/>
          <w:b/>
          <w:bCs/>
          <w:color w:val="111111"/>
          <w:kern w:val="2"/>
          <w:sz w:val="24"/>
          <w:szCs w:val="24"/>
          <w:lang w:bidi="hi-IN"/>
        </w:rPr>
        <w:t>R$11.800,00,</w:t>
      </w:r>
      <w:r>
        <w:rPr>
          <w:color w:val="000000"/>
          <w:sz w:val="24"/>
          <w:szCs w:val="24"/>
        </w:rPr>
        <w:t xml:space="preserve"> tendo como base a cotação de preços realizada </w:t>
      </w:r>
      <w:r>
        <w:rPr>
          <w:color w:val="111111"/>
          <w:sz w:val="24"/>
          <w:szCs w:val="24"/>
        </w:rPr>
        <w:t>pelo setor de Alimentação Escolar da Secretaria Municipal de Educação.</w:t>
      </w:r>
    </w:p>
    <w:p>
      <w:pPr>
        <w:pStyle w:val="normal1"/>
        <w:spacing w:lineRule="auto" w:line="276"/>
        <w:ind w:firstLine="680" w:left="-85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dispêndio financeiro decorrente da contratação ora pretendida será à conta dos recursos consignados no Orçamento da Secretaria Municipal de Educação do Município de Ronda Alta para o exercício de 2024, cuja dotação segue: 0701 12 361 0082 2023 3.390.30.21.00.00.00.00 e 0701 12 365 0071 2025 3.3.90.30.21.00.00.00.</w:t>
      </w:r>
    </w:p>
    <w:p>
      <w:pPr>
        <w:pStyle w:val="normal1"/>
        <w:spacing w:lineRule="auto" w:line="276"/>
        <w:ind w:firstLine="680" w:left="-85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lineRule="auto" w:line="276"/>
        <w:ind w:firstLine="29" w:left="680"/>
        <w:jc w:val="right"/>
        <w:rPr>
          <w:rFonts w:ascii="Arial" w:hAnsi="Arial"/>
          <w:sz w:val="24"/>
          <w:szCs w:val="24"/>
        </w:rPr>
      </w:pPr>
      <w:r>
        <w:rPr>
          <w:color w:val="000000"/>
          <w:sz w:val="24"/>
          <w:szCs w:val="24"/>
        </w:rPr>
        <w:t>Ronda Alta, 02 de junho de 2025.</w:t>
      </w:r>
    </w:p>
    <w:p>
      <w:pPr>
        <w:pStyle w:val="normal1"/>
        <w:spacing w:lineRule="auto" w:line="276"/>
        <w:ind w:hanging="680" w:left="68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ind w:hanging="0" w:left="68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ind w:hanging="0" w:left="68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ind w:hanging="0" w:left="68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/>
        <w:suppressAutoHyphens w:val="true"/>
        <w:overflowPunct w:val="true"/>
        <w:bidi w:val="0"/>
        <w:spacing w:lineRule="auto" w:line="276" w:before="0" w:after="0"/>
        <w:ind w:hanging="0" w:left="-794" w:right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>
      <w:pPr>
        <w:pStyle w:val="normal1"/>
        <w:widowControl/>
        <w:suppressAutoHyphens w:val="true"/>
        <w:overflowPunct w:val="true"/>
        <w:bidi w:val="0"/>
        <w:spacing w:lineRule="auto" w:line="276" w:before="0" w:after="0"/>
        <w:ind w:hanging="0" w:left="-794" w:right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Andréia Scarpin Noetzold</w:t>
      </w:r>
    </w:p>
    <w:p>
      <w:pPr>
        <w:pStyle w:val="normal1"/>
        <w:widowControl/>
        <w:suppressAutoHyphens w:val="true"/>
        <w:overflowPunct w:val="true"/>
        <w:bidi w:val="0"/>
        <w:spacing w:lineRule="auto" w:line="276" w:before="0" w:after="0"/>
        <w:ind w:hanging="0" w:left="-794" w:right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Secretária Municipal de Educação e Desporto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810" w:top="2055" w:footer="581" w:bottom="122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Monotype Sorts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Verdana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center"/>
      <w:rPr/>
    </w:pPr>
    <w:r>
      <w:rPr>
        <w:color w:val="000000"/>
        <w:sz w:val="20"/>
        <w:szCs w:val="20"/>
      </w:rPr>
      <w:t>Praça Mose Míssio, s/n – CEP: 99670-000 – Fone: (54) 3364-5900</w:t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center"/>
      <w:rPr/>
    </w:pP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www.rondaalta.rs.gov.br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center"/>
      <w:rPr/>
    </w:pPr>
    <w:r>
      <w:rPr>
        <w:color w:val="000000"/>
        <w:sz w:val="20"/>
        <w:szCs w:val="20"/>
      </w:rPr>
      <w:t>Praça Mose Míssio, s/n – CEP: 99670-000 – Fone: (54) 3364-5900</w:t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center"/>
      <w:rPr/>
    </w:pP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www.rondaalta.rs.gov.br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-481330</wp:posOffset>
          </wp:positionH>
          <wp:positionV relativeFrom="paragraph">
            <wp:posOffset>-287655</wp:posOffset>
          </wp:positionV>
          <wp:extent cx="686435" cy="8032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" t="-41" r="-4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 Black"/>
        <w:b/>
        <w:bCs/>
        <w:color w:val="000000"/>
        <w:sz w:val="28"/>
        <w:szCs w:val="28"/>
      </w:rPr>
      <w:t>ESTADO DO RIO GRANDE DO SUL</w:t>
    </w:r>
  </w:p>
  <w:p>
    <w:pPr>
      <w:pStyle w:val="Normal"/>
      <w:jc w:val="center"/>
      <w:rPr>
        <w:sz w:val="28"/>
        <w:szCs w:val="28"/>
      </w:rPr>
    </w:pPr>
    <w:r>
      <w:rPr>
        <w:rFonts w:cs="Arial Black"/>
        <w:b/>
        <w:bCs/>
        <w:sz w:val="28"/>
        <w:szCs w:val="28"/>
      </w:rPr>
      <w:t>MUNICÍPIO DE RONDA ALTA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-481330</wp:posOffset>
          </wp:positionH>
          <wp:positionV relativeFrom="paragraph">
            <wp:posOffset>-287655</wp:posOffset>
          </wp:positionV>
          <wp:extent cx="686435" cy="803275"/>
          <wp:effectExtent l="0" t="0" r="0" b="0"/>
          <wp:wrapNone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" t="-41" r="-4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 Black"/>
        <w:b/>
        <w:bCs/>
        <w:color w:val="000000"/>
        <w:sz w:val="28"/>
        <w:szCs w:val="28"/>
      </w:rPr>
      <w:t>ESTADO DO RIO GRANDE DO SUL</w:t>
    </w:r>
  </w:p>
  <w:p>
    <w:pPr>
      <w:pStyle w:val="Normal"/>
      <w:jc w:val="center"/>
      <w:rPr>
        <w:sz w:val="28"/>
        <w:szCs w:val="28"/>
      </w:rPr>
    </w:pPr>
    <w:r>
      <w:rPr>
        <w:rFonts w:cs="Arial Black"/>
        <w:b/>
        <w:bCs/>
        <w:sz w:val="28"/>
        <w:szCs w:val="28"/>
      </w:rPr>
      <w:t>MUNICÍPIO DE RONDA ALTA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0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1"/>
    <w:next w:val="normal1"/>
    <w:link w:val="Ttulo2Char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Ttulo3Char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4">
    <w:name w:val="heading 4"/>
    <w:basedOn w:val="normal1"/>
    <w:next w:val="normal1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1"/>
    <w:next w:val="normal1"/>
    <w:link w:val="Ttulo7Char"/>
    <w:qFormat/>
    <w:pPr>
      <w:keepNext w:val="true"/>
      <w:numPr>
        <w:ilvl w:val="6"/>
        <w:numId w:val="1"/>
      </w:numPr>
      <w:tabs>
        <w:tab w:val="clear" w:pos="720"/>
        <w:tab w:val="left" w:pos="2835" w:leader="none"/>
      </w:tabs>
      <w:spacing w:lineRule="exact" w:line="280"/>
      <w:ind w:hanging="57" w:left="57" w:right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4">
    <w:name w:val="Fonte parág. padrão4"/>
    <w:qFormat/>
    <w:rPr/>
  </w:style>
  <w:style w:type="character" w:styleId="Absatz-Standardschriftart">
    <w:name w:val="Absatz-Standardschriftart"/>
    <w:qFormat/>
    <w:rPr/>
  </w:style>
  <w:style w:type="character" w:styleId="Fontepargpadro3">
    <w:name w:val="Fonte parág. padrão3"/>
    <w:qFormat/>
    <w:rPr/>
  </w:style>
  <w:style w:type="character" w:styleId="WW-Absatz-Standardschriftart">
    <w:name w:val="WW-Absatz-Standardschriftart"/>
    <w:qFormat/>
    <w:rPr/>
  </w:style>
  <w:style w:type="character" w:styleId="Fontepargpadro2">
    <w:name w:val="Fonte parág. padrão2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Fontepargpadro1">
    <w:name w:val="Fonte parág. padrão1"/>
    <w:qFormat/>
    <w:rPr/>
  </w:style>
  <w:style w:type="character" w:styleId="PageNumber">
    <w:name w:val="page number"/>
    <w:basedOn w:val="Fontepargpadro1"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Refdenotaderodap1">
    <w:name w:val="Ref. de nota de rodapé1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Smbolosdenumerao">
    <w:name w:val="Símbolos de numeração"/>
    <w:qFormat/>
    <w:rPr/>
  </w:style>
  <w:style w:type="character" w:styleId="Refdenotadefim1">
    <w:name w:val="Ref. de nota de fim1"/>
    <w:qFormat/>
    <w:rPr>
      <w:vertAlign w:val="superscript"/>
    </w:rPr>
  </w:style>
  <w:style w:type="character" w:styleId="Refdenotaderodap2">
    <w:name w:val="Ref. de nota de rodapé2"/>
    <w:qFormat/>
    <w:rPr>
      <w:vertAlign w:val="superscript"/>
    </w:rPr>
  </w:style>
  <w:style w:type="character" w:styleId="Refdenotadefim2">
    <w:name w:val="Ref. de nota de fim2"/>
    <w:qFormat/>
    <w:rPr>
      <w:vertAlign w:val="superscript"/>
    </w:rPr>
  </w:style>
  <w:style w:type="character" w:styleId="Refdenotaderodap3">
    <w:name w:val="Ref. de nota de rodapé3"/>
    <w:qFormat/>
    <w:rPr>
      <w:vertAlign w:val="superscript"/>
    </w:rPr>
  </w:style>
  <w:style w:type="character" w:styleId="Refdenotadefim3">
    <w:name w:val="Ref. de nota de fim3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FootnoteCharacters11111111111">
    <w:name w:val="Footnote Characters11111111111"/>
    <w:qFormat/>
    <w:rPr>
      <w:vertAlign w:val="superscript"/>
    </w:rPr>
  </w:style>
  <w:style w:type="character" w:styleId="FootnoteCharacters111111111111">
    <w:name w:val="Footnote Characters111111111111"/>
    <w:qFormat/>
    <w:rPr>
      <w:vertAlign w:val="superscript"/>
    </w:rPr>
  </w:style>
  <w:style w:type="character" w:styleId="FootnoteCharacters1111111111111">
    <w:name w:val="Footnote Characters1111111111111"/>
    <w:qFormat/>
    <w:rPr>
      <w:vertAlign w:val="superscript"/>
    </w:rPr>
  </w:style>
  <w:style w:type="character" w:styleId="FootnoteCharacters11111111111111">
    <w:name w:val="Footnote Characters11111111111111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Characters111111111">
    <w:name w:val="Endnote Characters111111111"/>
    <w:qFormat/>
    <w:rPr>
      <w:vertAlign w:val="superscript"/>
    </w:rPr>
  </w:style>
  <w:style w:type="character" w:styleId="EndnoteCharacters1111111111">
    <w:name w:val="Endnote Characters1111111111"/>
    <w:qFormat/>
    <w:rPr>
      <w:vertAlign w:val="superscript"/>
    </w:rPr>
  </w:style>
  <w:style w:type="character" w:styleId="EndnoteCharacters11111111111">
    <w:name w:val="Endnote Characters11111111111"/>
    <w:qFormat/>
    <w:rPr>
      <w:vertAlign w:val="superscript"/>
    </w:rPr>
  </w:style>
  <w:style w:type="character" w:styleId="EndnoteCharacters111111111111">
    <w:name w:val="Endnote Characters111111111111"/>
    <w:qFormat/>
    <w:rPr>
      <w:vertAlign w:val="superscript"/>
    </w:rPr>
  </w:style>
  <w:style w:type="character" w:styleId="EndnoteCharacters1111111111111">
    <w:name w:val="Endnote Characters1111111111111"/>
    <w:qFormat/>
    <w:rPr>
      <w:vertAlign w:val="superscript"/>
    </w:rPr>
  </w:style>
  <w:style w:type="character" w:styleId="EndnoteCharacters11111111111111">
    <w:name w:val="Endnote Characters11111111111111"/>
    <w:qFormat/>
    <w:rPr>
      <w:vertAlign w:val="superscript"/>
    </w:rPr>
  </w:style>
  <w:style w:type="character" w:styleId="RodapChar">
    <w:name w:val="Rodapé Char"/>
    <w:qFormat/>
    <w:rPr>
      <w:rFonts w:ascii="Arial" w:hAnsi="Arial" w:cs="Arial"/>
      <w:sz w:val="22"/>
      <w:lang w:eastAsia="zh-CN"/>
    </w:rPr>
  </w:style>
  <w:style w:type="character" w:styleId="Refdenotaderodap5">
    <w:name w:val="Ref. de nota de rodapé5"/>
    <w:qFormat/>
    <w:rPr>
      <w:vertAlign w:val="superscript"/>
    </w:rPr>
  </w:style>
  <w:style w:type="character" w:styleId="TextodebaloChar">
    <w:name w:val="Texto de balão Char"/>
    <w:link w:val="BalloonText"/>
    <w:qFormat/>
    <w:rPr>
      <w:rFonts w:ascii="Segoe UI" w:hAnsi="Segoe UI" w:cs="Segoe UI"/>
      <w:sz w:val="18"/>
      <w:szCs w:val="18"/>
      <w:lang w:eastAsia="zh-CN"/>
    </w:rPr>
  </w:style>
  <w:style w:type="character" w:styleId="InternetLink">
    <w:name w:val="Internet Link"/>
    <w:qFormat/>
    <w:rPr>
      <w:color w:val="0563C1"/>
      <w:u w:val="single"/>
    </w:rPr>
  </w:style>
  <w:style w:type="character" w:styleId="MenoPendente1">
    <w:name w:val="Menção Pendente1"/>
    <w:qFormat/>
    <w:rPr>
      <w:color w:val="808080"/>
      <w:shd w:fill="E6E6E6" w:val="clear"/>
    </w:rPr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/>
      <w:b/>
      <w:bCs/>
      <w:i/>
      <w:iCs/>
      <w:sz w:val="28"/>
      <w:szCs w:val="28"/>
    </w:rPr>
  </w:style>
  <w:style w:type="character" w:styleId="Ttulo3Char">
    <w:name w:val="Título 3 Char"/>
    <w:basedOn w:val="DefaultParagraphFont"/>
    <w:qFormat/>
    <w:rPr>
      <w:rFonts w:ascii="Calibri Light" w:hAnsi="Calibri Light"/>
      <w:b/>
      <w:bCs/>
      <w:sz w:val="26"/>
      <w:szCs w:val="26"/>
    </w:rPr>
  </w:style>
  <w:style w:type="character" w:styleId="Ttulo7Char">
    <w:name w:val="Título 7 Char"/>
    <w:basedOn w:val="DefaultParagraphFont"/>
    <w:qFormat/>
    <w:rPr>
      <w:b/>
      <w:spacing w:val="14"/>
      <w:sz w:val="24"/>
    </w:rPr>
  </w:style>
  <w:style w:type="character" w:styleId="WW8Num2z0">
    <w:name w:val="WW8Num2z0"/>
    <w:qFormat/>
    <w:rPr>
      <w:rFonts w:ascii="Monotype Sorts" w:hAnsi="Monotype Sorts"/>
    </w:rPr>
  </w:style>
  <w:style w:type="character" w:styleId="WW8Num3z0">
    <w:name w:val="WW8Num3z0"/>
    <w:qFormat/>
    <w:rPr>
      <w:b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/>
    </w:rPr>
  </w:style>
  <w:style w:type="character" w:styleId="WW8Num4z2">
    <w:name w:val="WW8Num4z2"/>
    <w:qFormat/>
    <w:rPr>
      <w:rFonts w:ascii="Wingdings" w:hAnsi="Wingdings"/>
    </w:rPr>
  </w:style>
  <w:style w:type="character" w:styleId="WW8Num4z3">
    <w:name w:val="WW8Num4z3"/>
    <w:qFormat/>
    <w:rPr>
      <w:rFonts w:ascii="Symbol" w:hAnsi="Symbol"/>
    </w:rPr>
  </w:style>
  <w:style w:type="character" w:styleId="WW8Num5z0">
    <w:name w:val="WW8Num5z0"/>
    <w:qFormat/>
    <w:rPr>
      <w:rFonts w:ascii="Times New Roman" w:hAnsi="Times New Roman"/>
      <w:b/>
    </w:rPr>
  </w:style>
  <w:style w:type="character" w:styleId="WW8Num6z0">
    <w:name w:val="WW8Num6z0"/>
    <w:qFormat/>
    <w:rPr>
      <w:b/>
    </w:rPr>
  </w:style>
  <w:style w:type="character" w:styleId="WW8Num7z0">
    <w:name w:val="WW8Num7z0"/>
    <w:qFormat/>
    <w:rPr>
      <w:b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InternetLink20">
    <w:name w:val="Internet Link20"/>
    <w:qFormat/>
    <w:rPr>
      <w:color w:val="000080"/>
      <w:u w:val="single"/>
    </w:rPr>
  </w:style>
  <w:style w:type="character" w:styleId="InternetLink19">
    <w:name w:val="Internet Link19"/>
    <w:qFormat/>
    <w:rPr>
      <w:color w:val="000080"/>
      <w:u w:val="single"/>
    </w:rPr>
  </w:style>
  <w:style w:type="character" w:styleId="InternetLink18">
    <w:name w:val="Internet Link18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Ttulo3Char1">
    <w:name w:val="Título 3 Char1"/>
    <w:basedOn w:val="DefaultParagraphFont"/>
    <w:qFormat/>
    <w:rPr>
      <w:rFonts w:ascii="Calibri Light" w:hAnsi="Calibri Light" w:eastAsia="Arial" w:cs="Arial"/>
      <w:color w:themeColor="accent1" w:themeShade="7f" w:val="1F4D78"/>
      <w:sz w:val="24"/>
      <w:szCs w:val="24"/>
      <w:lang w:eastAsia="zh-CN"/>
    </w:rPr>
  </w:style>
  <w:style w:type="character" w:styleId="Ttulo2Char1">
    <w:name w:val="Título 2 Char1"/>
    <w:basedOn w:val="DefaultParagraphFont"/>
    <w:qFormat/>
    <w:rPr>
      <w:rFonts w:ascii="Calibri Light" w:hAnsi="Calibri Light" w:eastAsia="Arial" w:cs="Arial"/>
      <w:color w:themeColor="accent1" w:themeShade="bf" w:val="2E74B5"/>
      <w:sz w:val="26"/>
      <w:szCs w:val="26"/>
      <w:lang w:eastAsia="zh-CN"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AssuntodocomentrioChar">
    <w:name w:val="Assunto do comentário Char"/>
    <w:basedOn w:val="TextodecomentrioChar"/>
    <w:qFormat/>
    <w:rPr>
      <w:b/>
      <w:bCs/>
      <w:lang w:eastAsia="zh-CN"/>
    </w:rPr>
  </w:style>
  <w:style w:type="character" w:styleId="TextodecomentrioChar">
    <w:name w:val="Texto de comentário Char"/>
    <w:basedOn w:val="DefaultParagraphFont"/>
    <w:qFormat/>
    <w:rPr>
      <w:lang w:eastAsia="zh-CN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abealhoChar1">
    <w:name w:val="Cabeçalho Char1"/>
    <w:basedOn w:val="DefaultParagraphFont"/>
    <w:qFormat/>
    <w:rPr>
      <w:rFonts w:ascii="Liberation Serif" w:hAnsi="Liberation Serif" w:eastAsia="NSimSun" w:cs="Liberation Serif"/>
      <w:kern w:val="2"/>
      <w:sz w:val="24"/>
      <w:szCs w:val="24"/>
      <w:lang w:val="pt-BR" w:eastAsia="zh-CN" w:bidi="hi-IN"/>
    </w:rPr>
  </w:style>
  <w:style w:type="character" w:styleId="VisitedInternetLink">
    <w:name w:val="Visited Internet Link"/>
    <w:basedOn w:val="DefaultParagraphFont"/>
    <w:qFormat/>
    <w:rPr>
      <w:color w:val="800080"/>
      <w:u w:val="single"/>
    </w:rPr>
  </w:style>
  <w:style w:type="character" w:styleId="InternetLink110">
    <w:name w:val="Internet Link110"/>
    <w:basedOn w:val="DefaultParagraphFont"/>
    <w:qFormat/>
    <w:rPr>
      <w:rFonts w:cs="Times New Roman"/>
      <w:color w:val="0000FF"/>
      <w:u w:val="single"/>
    </w:rPr>
  </w:style>
  <w:style w:type="character" w:styleId="MapadoDocumentoChar">
    <w:name w:val="Mapa do Documento Char"/>
    <w:basedOn w:val="DefaultParagraphFont"/>
    <w:qFormat/>
    <w:rPr>
      <w:rFonts w:eastAsia="Arial Narrow"/>
      <w:sz w:val="24"/>
    </w:rPr>
  </w:style>
  <w:style w:type="character" w:styleId="TextodenotaderodapChar">
    <w:name w:val="Texto de nota de rodapé Char"/>
    <w:basedOn w:val="DefaultParagraphFont"/>
    <w:qFormat/>
    <w:rPr>
      <w:rFonts w:eastAsia="Times New Roman"/>
    </w:rPr>
  </w:style>
  <w:style w:type="character" w:styleId="Normal1Char">
    <w:name w:val="Normal1 Char"/>
    <w:basedOn w:val="DefaultParagraphFont"/>
    <w:qFormat/>
    <w:rPr>
      <w:rFonts w:ascii="Verdana" w:hAnsi="Verdana" w:eastAsia="DejaVu Sans" w:cs="Verdana"/>
      <w:color w:val="000000"/>
      <w:sz w:val="24"/>
      <w:szCs w:val="24"/>
      <w:lang w:eastAsia="en-US"/>
    </w:rPr>
  </w:style>
  <w:style w:type="character" w:styleId="TextosemFormataoChar">
    <w:name w:val="Texto sem Formatação Char"/>
    <w:basedOn w:val="DefaultParagraphFont"/>
    <w:qFormat/>
    <w:rPr>
      <w:rFonts w:ascii="Courier New" w:hAnsi="Courier New" w:eastAsia="Times New Roman" w:cs="Courier New"/>
    </w:rPr>
  </w:style>
  <w:style w:type="character" w:styleId="RecuodecorpodetextoChar">
    <w:name w:val="Recuo de corpo de texto Char"/>
    <w:basedOn w:val="DefaultParagraphFont"/>
    <w:qFormat/>
    <w:rPr>
      <w:rFonts w:eastAsia="Times New Roman"/>
    </w:rPr>
  </w:style>
  <w:style w:type="character" w:styleId="txtproduto2">
    <w:name w:val="txtproduto2"/>
    <w:basedOn w:val="DefaultParagraphFont"/>
    <w:qFormat/>
    <w:rPr/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RefernciaSutil1">
    <w:name w:val="Referência Sutil1"/>
    <w:basedOn w:val="DefaultParagraphFont"/>
    <w:qFormat/>
    <w:rPr>
      <w:smallCaps/>
      <w:color w:val="C0504D"/>
      <w:u w:val="single"/>
    </w:rPr>
  </w:style>
  <w:style w:type="character" w:styleId="apple-converted-space">
    <w:name w:val="apple-converted-space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FootnoteCharacters111111111111111111111">
    <w:name w:val="Footnote Characters111111111111111111111"/>
    <w:qFormat/>
    <w:rPr>
      <w:vertAlign w:val="superscript"/>
    </w:rPr>
  </w:style>
  <w:style w:type="character" w:styleId="FootnoteCharacters11111111111111111111">
    <w:name w:val="Footnote Characters11111111111111111111"/>
    <w:qFormat/>
    <w:rPr>
      <w:vertAlign w:val="superscript"/>
    </w:rPr>
  </w:style>
  <w:style w:type="character" w:styleId="FootnoteCharacters1111111111111111111">
    <w:name w:val="Footnote Characters1111111111111111111"/>
    <w:qFormat/>
    <w:rPr>
      <w:vertAlign w:val="superscript"/>
    </w:rPr>
  </w:style>
  <w:style w:type="character" w:styleId="FootnoteCharacters111111111111111111">
    <w:name w:val="Footnote Characters111111111111111111"/>
    <w:qFormat/>
    <w:rPr>
      <w:vertAlign w:val="superscript"/>
    </w:rPr>
  </w:style>
  <w:style w:type="character" w:styleId="FootnoteCharacters11111111111111111">
    <w:name w:val="Footnote Characters11111111111111111"/>
    <w:qFormat/>
    <w:rPr>
      <w:vertAlign w:val="superscript"/>
    </w:rPr>
  </w:style>
  <w:style w:type="character" w:styleId="FootnoteCharacters1111111111111111">
    <w:name w:val="Footnote Characters1111111111111111"/>
    <w:qFormat/>
    <w:rPr>
      <w:vertAlign w:val="superscript"/>
    </w:rPr>
  </w:style>
  <w:style w:type="character" w:styleId="FootnoteCharacters111111111111111">
    <w:name w:val="Footnote Characters111111111111111"/>
    <w:qFormat/>
    <w:rPr>
      <w:vertAlign w:val="superscript"/>
    </w:rPr>
  </w:style>
  <w:style w:type="character" w:styleId="FootnoteCharacters111111111111112">
    <w:name w:val="Footnote Characters111111111111112"/>
    <w:qFormat/>
    <w:rPr>
      <w:vertAlign w:val="superscript"/>
    </w:rPr>
  </w:style>
  <w:style w:type="character" w:styleId="FootnoteCharacters11111111111112">
    <w:name w:val="Footnote Characters11111111111112"/>
    <w:qFormat/>
    <w:rPr>
      <w:vertAlign w:val="superscript"/>
    </w:rPr>
  </w:style>
  <w:style w:type="character" w:styleId="FootnoteCharacters1111111111112">
    <w:name w:val="Footnote Characters1111111111112"/>
    <w:qFormat/>
    <w:rPr>
      <w:vertAlign w:val="superscript"/>
    </w:rPr>
  </w:style>
  <w:style w:type="character" w:styleId="FootnoteCharacters111111111112">
    <w:name w:val="Footnote Characters111111111112"/>
    <w:qFormat/>
    <w:rPr>
      <w:vertAlign w:val="superscript"/>
    </w:rPr>
  </w:style>
  <w:style w:type="character" w:styleId="FootnoteCharacters11111111112">
    <w:name w:val="Footnote Characters11111111112"/>
    <w:qFormat/>
    <w:rPr>
      <w:vertAlign w:val="superscript"/>
    </w:rPr>
  </w:style>
  <w:style w:type="character" w:styleId="FootnoteCharacters1111111112">
    <w:name w:val="Footnote Characters1111111112"/>
    <w:qFormat/>
    <w:rPr>
      <w:vertAlign w:val="superscript"/>
    </w:rPr>
  </w:style>
  <w:style w:type="character" w:styleId="FootnoteCharacters111111112">
    <w:name w:val="Footnote Characters111111112"/>
    <w:qFormat/>
    <w:rPr>
      <w:vertAlign w:val="superscript"/>
    </w:rPr>
  </w:style>
  <w:style w:type="character" w:styleId="FootnoteCharacters11111112">
    <w:name w:val="Footnote Characters11111112"/>
    <w:qFormat/>
    <w:rPr>
      <w:vertAlign w:val="superscript"/>
    </w:rPr>
  </w:style>
  <w:style w:type="character" w:styleId="FootnoteCharacters1111112">
    <w:name w:val="Footnote Characters1111112"/>
    <w:qFormat/>
    <w:rPr>
      <w:vertAlign w:val="superscript"/>
    </w:rPr>
  </w:style>
  <w:style w:type="character" w:styleId="Corpodetexto21Char">
    <w:name w:val="Corpo de texto 21 Char"/>
    <w:basedOn w:val="DefaultParagraphFont"/>
    <w:qFormat/>
    <w:rPr>
      <w:rFonts w:ascii="Arial" w:hAnsi="Arial" w:eastAsia="Times New Roman"/>
      <w:sz w:val="22"/>
      <w:lang w:eastAsia="ar-SA"/>
    </w:rPr>
  </w:style>
  <w:style w:type="character" w:styleId="fontedados">
    <w:name w:val="fontedados"/>
    <w:basedOn w:val="DefaultParagraphFont"/>
    <w:qFormat/>
    <w:rPr/>
  </w:style>
  <w:style w:type="character" w:styleId="Pr-formataoHTMLChar">
    <w:name w:val="Pré-formatação HTML Char"/>
    <w:basedOn w:val="DefaultParagraphFont"/>
    <w:qFormat/>
    <w:rPr>
      <w:rFonts w:ascii="Courier" w:hAnsi="Courier" w:eastAsia="Arial" w:cs="Courier"/>
      <w:lang w:eastAsia="en-US"/>
    </w:rPr>
  </w:style>
  <w:style w:type="character" w:styleId="Ttulo1Char">
    <w:name w:val="Título 1 Char"/>
    <w:basedOn w:val="DefaultParagraphFont"/>
    <w:qFormat/>
    <w:rPr>
      <w:rFonts w:eastAsia="Times New Roman"/>
      <w:sz w:val="28"/>
      <w:szCs w:val="24"/>
    </w:rPr>
  </w:style>
  <w:style w:type="character" w:styleId="CorpodetextoChar1">
    <w:name w:val="Corpo de texto Char1"/>
    <w:basedOn w:val="DefaultParagraphFont"/>
    <w:qFormat/>
    <w:rPr>
      <w:sz w:val="24"/>
      <w:szCs w:val="24"/>
      <w:lang w:eastAsia="zh-CN"/>
    </w:rPr>
  </w:style>
  <w:style w:type="character" w:styleId="CorpodetextoChar">
    <w:name w:val="Corpo de texto Char"/>
    <w:qFormat/>
    <w:rPr>
      <w:rFonts w:eastAsia="Times New Roman"/>
      <w:sz w:val="26"/>
    </w:rPr>
  </w:style>
  <w:style w:type="character" w:styleId="Emphasis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eastAsia="Times New Roman" w:cs="Arial"/>
      <w:sz w:val="24"/>
      <w:szCs w:val="24"/>
    </w:rPr>
  </w:style>
  <w:style w:type="character" w:styleId="CabealhoChar">
    <w:name w:val="Cabeçalho Char"/>
    <w:qFormat/>
    <w:rPr>
      <w:sz w:val="24"/>
      <w:szCs w:val="24"/>
      <w:lang w:eastAsia="zh-CN"/>
    </w:rPr>
  </w:style>
  <w:style w:type="character" w:styleId="Strong">
    <w:name w:val="Strong"/>
    <w:qFormat/>
    <w:rPr>
      <w:b/>
      <w:bCs/>
    </w:rPr>
  </w:style>
  <w:style w:type="character" w:styleId="InternetLink22">
    <w:name w:val="Internet Link22"/>
    <w:qFormat/>
    <w:rPr>
      <w:color w:val="000080"/>
      <w:u w:val="single"/>
    </w:rPr>
  </w:style>
  <w:style w:type="character" w:styleId="InternetLink221">
    <w:name w:val="Internet Link221"/>
    <w:qFormat/>
    <w:rPr>
      <w:color w:val="000080"/>
      <w:u w:val="single"/>
    </w:rPr>
  </w:style>
  <w:style w:type="character" w:styleId="FootnoteCharacters1111111111111111111111">
    <w:name w:val="Footnote Characters1111111111111111111111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widowControl w:val="false"/>
      <w:suppressAutoHyphens w:val="true"/>
      <w:jc w:val="both"/>
    </w:pPr>
    <w:rPr>
      <w:rFonts w:ascii="Times New Roman" w:hAnsi="Times New Roman" w:cs="Times New Roman"/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Tahoma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3">
    <w:name w:val="Título3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">
    <w:name w:val="Título2"/>
    <w:basedOn w:val="normal1"/>
    <w:next w:val="BodyText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Legenda3">
    <w:name w:val="Legenda3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1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2">
    <w:name w:val="Legenda2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ulo">
    <w:name w:val="Capítulo"/>
    <w:basedOn w:val="normal1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>
    <w:name w:val="Legenda1"/>
    <w:basedOn w:val="normal1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itle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Footer">
    <w:name w:val="footer"/>
    <w:basedOn w:val="normal1"/>
    <w:link w:val="RodapChar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Header">
    <w:name w:val="header"/>
    <w:basedOn w:val="normal1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JE1">
    <w:name w:val="JE1"/>
    <w:basedOn w:val="Heading1"/>
    <w:qFormat/>
    <w:pPr>
      <w:numPr>
        <w:ilvl w:val="0"/>
        <w:numId w:val="0"/>
      </w:numPr>
      <w:suppressAutoHyphens w:val="true"/>
      <w:jc w:val="center"/>
    </w:pPr>
    <w:rPr/>
  </w:style>
  <w:style w:type="paragraph" w:styleId="BodyTextIndented">
    <w:name w:val="Body Text, Indented"/>
    <w:basedOn w:val="normal1"/>
    <w:qFormat/>
    <w:pPr>
      <w:suppressAutoHyphens w:val="true"/>
      <w:ind w:left="2410"/>
      <w:jc w:val="both"/>
    </w:pPr>
    <w:rPr>
      <w:b/>
      <w:sz w:val="24"/>
    </w:rPr>
  </w:style>
  <w:style w:type="paragraph" w:styleId="FootnoteText">
    <w:name w:val="footnote text"/>
    <w:basedOn w:val="normal1"/>
    <w:pPr>
      <w:suppressAutoHyphens w:val="true"/>
    </w:pPr>
    <w:rPr>
      <w:rFonts w:ascii="Times New Roman" w:hAnsi="Times New Roman" w:cs="Times New Roman"/>
      <w:sz w:val="20"/>
    </w:rPr>
  </w:style>
  <w:style w:type="paragraph" w:styleId="Corpodetexto21">
    <w:name w:val="Corpo de texto 21"/>
    <w:basedOn w:val="normal1"/>
    <w:qFormat/>
    <w:pPr>
      <w:jc w:val="both"/>
    </w:pPr>
    <w:rPr/>
  </w:style>
  <w:style w:type="paragraph" w:styleId="Contedodetabela">
    <w:name w:val="Conteúdo de tabela"/>
    <w:basedOn w:val="normal1"/>
    <w:qFormat/>
    <w:pPr>
      <w:suppressLineNumbers/>
    </w:pPr>
    <w:rPr/>
  </w:style>
  <w:style w:type="paragraph" w:styleId="Contedodatabela">
    <w:name w:val="Conteúdo da tabela"/>
    <w:basedOn w:val="normal1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Contedodequadro">
    <w:name w:val="Conteúdo de quadro"/>
    <w:basedOn w:val="BodyText"/>
    <w:qFormat/>
    <w:pPr/>
    <w:rPr/>
  </w:style>
  <w:style w:type="paragraph" w:styleId="Ttulodatabela">
    <w:name w:val="Título da tabela"/>
    <w:basedOn w:val="Contedodatabela"/>
    <w:qFormat/>
    <w:pPr>
      <w:jc w:val="center"/>
    </w:pPr>
    <w:rPr>
      <w:b/>
      <w:bCs/>
    </w:rPr>
  </w:style>
  <w:style w:type="paragraph" w:styleId="Contedodoquadro">
    <w:name w:val="Conteúdo do quadro"/>
    <w:basedOn w:val="BodyText"/>
    <w:qFormat/>
    <w:pPr/>
    <w:rPr/>
  </w:style>
  <w:style w:type="paragraph" w:styleId="BalloonText">
    <w:name w:val="Balloon Text"/>
    <w:basedOn w:val="normal1"/>
    <w:link w:val="TextodebaloChar"/>
    <w:qFormat/>
    <w:pPr/>
    <w:rPr>
      <w:rFonts w:ascii="Segoe UI" w:hAnsi="Segoe UI" w:cs="Segoe UI"/>
      <w:sz w:val="18"/>
      <w:szCs w:val="18"/>
    </w:rPr>
  </w:style>
  <w:style w:type="paragraph" w:styleId="Textoembloco1">
    <w:name w:val="Texto em bloco1"/>
    <w:basedOn w:val="normal1"/>
    <w:qFormat/>
    <w:pPr>
      <w:ind w:firstLine="1134" w:left="4253" w:right="57"/>
      <w:jc w:val="both"/>
    </w:pPr>
    <w:rPr>
      <w:rFonts w:cs="Times New Roman"/>
      <w:i/>
      <w:spacing w:val="14"/>
    </w:rPr>
  </w:style>
  <w:style w:type="paragraph" w:styleId="texto2">
    <w:name w:val="texto2"/>
    <w:basedOn w:val="normal1"/>
    <w:qFormat/>
    <w:pPr>
      <w:spacing w:before="280" w:after="280"/>
    </w:pPr>
    <w:rPr>
      <w:rFonts w:ascii="Times New Roman" w:hAnsi="Times New Roman" w:cs="Times New Roman"/>
      <w:sz w:val="24"/>
      <w:szCs w:val="24"/>
      <w:lang w:eastAsia="pt-BR"/>
    </w:rPr>
  </w:style>
  <w:style w:type="paragraph" w:styleId="04partenormativa">
    <w:name w:val="04partenormativa"/>
    <w:basedOn w:val="normal1"/>
    <w:qFormat/>
    <w:pPr>
      <w:spacing w:before="280" w:after="280"/>
    </w:pPr>
    <w:rPr>
      <w:rFonts w:ascii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rmalWeb">
    <w:name w:val="Normal (Web)"/>
    <w:basedOn w:val="normal1"/>
    <w:qFormat/>
    <w:pPr>
      <w:spacing w:before="280" w:after="280"/>
    </w:pPr>
    <w:rPr>
      <w:rFonts w:ascii="Times New Roman" w:hAnsi="Times New Roman" w:cs="Times New Roman"/>
      <w:sz w:val="24"/>
      <w:szCs w:val="24"/>
      <w:lang w:eastAsia="pt-BR"/>
    </w:rPr>
  </w:style>
  <w:style w:type="paragraph" w:styleId="western">
    <w:name w:val="western"/>
    <w:basedOn w:val="Normal"/>
    <w:qFormat/>
    <w:pPr>
      <w:spacing w:before="280" w:after="142"/>
    </w:pPr>
    <w:rPr>
      <w:rFonts w:ascii="Times New Roman" w:hAnsi="Times New Roman" w:eastAsia="Times New Roman" w:cs="Times New Roman"/>
      <w:color w:val="000000"/>
      <w:lang w:eastAsia="pt-BR"/>
    </w:rPr>
  </w:style>
  <w:style w:type="paragraph" w:styleId="Normal11">
    <w:name w:val="Normal11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Verdana" w:hAnsi="Verdana" w:eastAsia="DejaVu Sans" w:cs="Verdana"/>
      <w:color w:val="000000"/>
      <w:kern w:val="0"/>
      <w:sz w:val="24"/>
      <w:szCs w:val="24"/>
      <w:lang w:val="pt-BR" w:eastAsia="en-US" w:bidi="ar-SA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pPr/>
    <w:rPr>
      <w:sz w:val="20"/>
      <w:szCs w:val="20"/>
    </w:rPr>
  </w:style>
  <w:style w:type="paragraph" w:styleId="Textoprformatado">
    <w:name w:val="Texto préformatado"/>
    <w:basedOn w:val="Normal"/>
    <w:qFormat/>
    <w:pPr/>
    <w:rPr>
      <w:rFonts w:ascii="Liberation Mono" w:hAnsi="Liberation Mono" w:eastAsia="NSimSun" w:cs="Liberation Mono"/>
      <w:sz w:val="20"/>
      <w:szCs w:val="20"/>
      <w:lang w:eastAsia="en-US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 Narrow" w:cs="Times New Roman"/>
      <w:color w:val="auto"/>
      <w:kern w:val="0"/>
      <w:sz w:val="24"/>
      <w:szCs w:val="20"/>
      <w:lang w:val="pt-BR" w:eastAsia="pt-BR" w:bidi="ar-SA"/>
    </w:rPr>
  </w:style>
  <w:style w:type="paragraph" w:styleId="Textbody">
    <w:name w:val="Text body"/>
    <w:basedOn w:val="Standard"/>
    <w:qFormat/>
    <w:pPr>
      <w:widowControl w:val="false"/>
      <w:tabs>
        <w:tab w:val="clear" w:pos="720"/>
        <w:tab w:val="left" w:pos="5380" w:leader="none"/>
        <w:tab w:val="left" w:pos="6460" w:leader="none"/>
      </w:tabs>
      <w:snapToGrid w:val="false"/>
    </w:pPr>
    <w:rPr>
      <w:kern w:val="0"/>
      <w:sz w:val="26"/>
      <w:szCs w:val="20"/>
      <w:lang w:eastAsia="pt-BR"/>
    </w:rPr>
  </w:style>
  <w:style w:type="paragraph" w:styleId="PADRAO">
    <w:name w:val="PADRAO"/>
    <w:basedOn w:val="Normal"/>
    <w:qFormat/>
    <w:pPr>
      <w:widowControl w:val="false"/>
      <w:tabs>
        <w:tab w:val="clear" w:pos="720"/>
        <w:tab w:val="left" w:pos="536" w:leader="none"/>
        <w:tab w:val="left" w:pos="2270" w:leader="none"/>
        <w:tab w:val="left" w:pos="4294" w:leader="none"/>
      </w:tabs>
      <w:jc w:val="both"/>
    </w:pPr>
    <w:rPr>
      <w:rFonts w:ascii="Tms Rmn" w:hAnsi="Tms Rmn" w:eastAsia="Times New Roman"/>
      <w:color w:val="000000"/>
      <w:szCs w:val="20"/>
      <w:lang w:eastAsia="pt-BR"/>
    </w:rPr>
  </w:style>
  <w:style w:type="paragraph" w:styleId="PlainText">
    <w:name w:val="Plain Text"/>
    <w:basedOn w:val="Normal"/>
    <w:qFormat/>
    <w:pPr>
      <w:tabs>
        <w:tab w:val="clear" w:pos="720"/>
        <w:tab w:val="left" w:pos="708" w:leader="none"/>
      </w:tabs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estilo1">
    <w:name w:val="estilo1"/>
    <w:basedOn w:val="Normal"/>
    <w:qFormat/>
    <w:pPr>
      <w:tabs>
        <w:tab w:val="clear" w:pos="720"/>
        <w:tab w:val="left" w:pos="708" w:leader="none"/>
      </w:tabs>
      <w:spacing w:before="280" w:after="280"/>
    </w:pPr>
    <w:rPr>
      <w:rFonts w:eastAsia="Times New Roman"/>
      <w:lang w:eastAsia="pt-BR"/>
    </w:rPr>
  </w:style>
  <w:style w:type="paragraph" w:styleId="BodyText21">
    <w:name w:val="Body Text 21"/>
    <w:basedOn w:val="Standard"/>
    <w:qFormat/>
    <w:pPr>
      <w:widowControl w:val="false"/>
      <w:spacing w:before="0" w:after="120"/>
      <w:jc w:val="both"/>
    </w:pPr>
    <w:rPr>
      <w:rFonts w:ascii="Arial" w:hAnsi="Arial" w:cs="Arial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WW-Padro">
    <w:name w:val="WW-Padrão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ar-SA" w:bidi="ar-SA"/>
    </w:rPr>
  </w:style>
  <w:style w:type="paragraph" w:styleId="Ttulo11">
    <w:name w:val="Título 11"/>
    <w:basedOn w:val="Normal"/>
    <w:qFormat/>
    <w:pPr>
      <w:widowControl w:val="false"/>
      <w:numPr>
        <w:ilvl w:val="0"/>
        <w:numId w:val="0"/>
      </w:numPr>
      <w:spacing w:before="125" w:after="0"/>
      <w:ind w:left="860"/>
      <w:outlineLvl w:val="1"/>
    </w:pPr>
    <w:rPr>
      <w:rFonts w:eastAsia="Times New Roman"/>
      <w:b/>
      <w:bCs/>
      <w:lang w:eastAsia="en-US"/>
    </w:rPr>
  </w:style>
  <w:style w:type="paragraph" w:styleId="Ttulo31">
    <w:name w:val="Título 31"/>
    <w:basedOn w:val="Normal"/>
    <w:next w:val="Normal"/>
    <w:qFormat/>
    <w:pPr>
      <w:keepNext w:val="true"/>
      <w:keepLines/>
      <w:widowControl w:val="false"/>
      <w:numPr>
        <w:ilvl w:val="0"/>
        <w:numId w:val="0"/>
      </w:numPr>
      <w:spacing w:before="40" w:after="0"/>
      <w:outlineLvl w:val="2"/>
    </w:pPr>
    <w:rPr>
      <w:rFonts w:ascii="Cambria" w:hAnsi="Cambria" w:eastAsia="Times New Roman"/>
      <w:color w:val="243F60"/>
      <w:lang w:eastAsia="en-US"/>
    </w:rPr>
  </w:style>
  <w:style w:type="paragraph" w:styleId="Ttulo21">
    <w:name w:val="Título 21"/>
    <w:basedOn w:val="Normal"/>
    <w:next w:val="Normal"/>
    <w:qFormat/>
    <w:pPr>
      <w:keepNext w:val="true"/>
      <w:keepLines/>
      <w:widowControl w:val="false"/>
      <w:numPr>
        <w:ilvl w:val="0"/>
        <w:numId w:val="0"/>
      </w:numPr>
      <w:spacing w:before="40" w:after="0"/>
      <w:outlineLvl w:val="1"/>
    </w:pPr>
    <w:rPr>
      <w:rFonts w:ascii="Cambria" w:hAnsi="Cambria" w:eastAsia="Times New Roman"/>
      <w:color w:val="365F91"/>
      <w:sz w:val="26"/>
      <w:szCs w:val="26"/>
      <w:lang w:eastAsia="en-US"/>
    </w:rPr>
  </w:style>
  <w:style w:type="paragraph" w:styleId="Normal12">
    <w:name w:val="Normal12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DejaVu Sans" w:cs="Verdana"/>
      <w:color w:val="000000"/>
      <w:kern w:val="0"/>
      <w:sz w:val="24"/>
      <w:szCs w:val="24"/>
      <w:lang w:val="pt-BR" w:eastAsia="en-US" w:bidi="ar-SA"/>
    </w:rPr>
  </w:style>
  <w:style w:type="paragraph" w:styleId="v1elementtoproof">
    <w:name w:val="v1elementtoproof"/>
    <w:basedOn w:val="Normal"/>
    <w:qFormat/>
    <w:pPr>
      <w:spacing w:before="280" w:after="280"/>
    </w:pPr>
    <w:rPr>
      <w:rFonts w:eastAsia="Times New Roman"/>
      <w:lang w:eastAsia="pt-BR"/>
    </w:rPr>
  </w:style>
  <w:style w:type="paragraph" w:styleId="TableParagraph">
    <w:name w:val="Table Paragraph"/>
    <w:basedOn w:val="Normal"/>
    <w:qFormat/>
    <w:pPr>
      <w:widowControl w:val="false"/>
      <w:ind w:left="57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WW-Padro1">
    <w:name w:val="WW-Padrã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ar-SA" w:bidi="ar-SA"/>
    </w:rPr>
  </w:style>
  <w:style w:type="paragraph" w:styleId="Estilopadro">
    <w:name w:val="Estilo 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DejaVu Sans" w:cs="Verdana"/>
      <w:color w:val="000000"/>
      <w:kern w:val="0"/>
      <w:sz w:val="24"/>
      <w:szCs w:val="24"/>
      <w:lang w:val="pt-BR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4"/>
      <w:lang w:val="pt-BR" w:eastAsia="en-US" w:bidi="ar-SA"/>
    </w:rPr>
  </w:style>
  <w:style w:type="paragraph" w:styleId="WW-Textosimples">
    <w:name w:val="WW-Texto simples"/>
    <w:basedOn w:val="Normal"/>
    <w:qFormat/>
    <w:pPr>
      <w:suppressAutoHyphens w:val="true"/>
    </w:pPr>
    <w:rPr>
      <w:rFonts w:ascii="Courier New" w:hAnsi="Courier New" w:eastAsia="Times New Roman"/>
      <w:kern w:val="2"/>
      <w:sz w:val="20"/>
      <w:szCs w:val="20"/>
      <w:lang w:eastAsia="ar-SA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" w:hAnsi="Courier" w:eastAsia="Arial" w:cs="Courier"/>
      <w:sz w:val="20"/>
      <w:szCs w:val="20"/>
      <w:lang w:eastAsia="en-US"/>
    </w:rPr>
  </w:style>
  <w:style w:type="paragraph" w:styleId="Padro">
    <w:name w:val="Padrão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Normal13">
    <w:name w:val="Normal13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Verdana" w:hAnsi="Verdana" w:eastAsia="DejaVu Sans" w:cs="Verdana"/>
      <w:color w:val="000000"/>
      <w:kern w:val="0"/>
      <w:sz w:val="24"/>
      <w:szCs w:val="24"/>
      <w:lang w:val="pt-BR" w:eastAsia="en-US" w:bidi="ar-SA"/>
    </w:rPr>
  </w:style>
  <w:style w:type="numbering" w:styleId="Semlista">
    <w:name w:val="Sem lista"/>
    <w:qFormat/>
  </w:style>
  <w:style w:type="numbering" w:styleId="Semlista1">
    <w:name w:val="Sem lista1"/>
    <w:qFormat/>
  </w:style>
  <w:style w:type="numbering" w:styleId="Semlista11">
    <w:name w:val="Sem lista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1385</TotalTime>
  <Application>LibreOffice/25.2.2.2$Windows_X86_64 LibreOffice_project/7370d4be9e3cf6031a51beef54ff3bda878e3fac</Application>
  <AppVersion>15.0000</AppVersion>
  <Pages>6</Pages>
  <Words>1909</Words>
  <Characters>10018</Characters>
  <CharactersWithSpaces>11683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2023-09-17T13:21:00Z</dcterms:created>
  <dc:creator>Marcia Bello</dc:creator>
  <dc:description/>
  <dc:language>pt-BR</dc:language>
  <cp:lastModifiedBy/>
  <cp:lastPrinted>2025-04-01T13:50:13Z</cp:lastPrinted>
  <dcterms:modified xsi:type="dcterms:W3CDTF">2025-06-03T11:10:59Z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