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spacing w:lineRule="auto" w:line="276" w:before="0" w:after="0"/>
        <w:jc w:val="center"/>
        <w:rPr>
          <w:rFonts w:ascii="Arial" w:hAnsi="Arial" w:cs="Arial"/>
          <w:color w:val="auto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695325" cy="819150"/>
            <wp:effectExtent l="0" t="0" r="0" b="0"/>
            <wp:wrapSquare wrapText="bothSides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color w:val="auto"/>
        </w:rPr>
        <w:t>ESTADO DO RIO GRANDE DO SUL</w:t>
      </w:r>
    </w:p>
    <w:p>
      <w:pPr>
        <w:pStyle w:val="western"/>
        <w:spacing w:lineRule="auto" w:line="276" w:before="280" w:after="0"/>
        <w:jc w:val="center"/>
        <w:rPr>
          <w:b/>
          <w:bCs/>
        </w:rPr>
      </w:pPr>
      <w:r>
        <w:rPr>
          <w:rFonts w:cs="Arial" w:ascii="Arial" w:hAnsi="Arial"/>
          <w:b/>
          <w:bCs/>
          <w:color w:val="auto"/>
        </w:rPr>
        <w:t>PREFEITURA MUNICIPAL DE RONDA ALTA</w:t>
      </w:r>
    </w:p>
    <w:p>
      <w:pPr>
        <w:pStyle w:val="Normal"/>
        <w:tabs>
          <w:tab w:val="clear" w:pos="708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TERMO DE REFERÊNCIA</w:t>
      </w:r>
    </w:p>
    <w:p>
      <w:pPr>
        <w:pStyle w:val="Normal"/>
        <w:tabs>
          <w:tab w:val="clear" w:pos="708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PROCESSO ADMINISTRATIVO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Município de Ronda Alta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Secretaria Municipal de Educação e Desporto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Necessidade da Administração: contratação de empresa especializada em arbitragem de campeonato regional de futsal.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false"/>
        <w:spacing w:lineRule="auto" w:line="360"/>
        <w:ind w:hanging="360" w:left="104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bCs/>
        </w:rPr>
        <w:t xml:space="preserve">1. </w:t>
      </w:r>
      <w:r>
        <w:rPr>
          <w:rFonts w:cs="Arial" w:ascii="Arial" w:hAnsi="Arial"/>
          <w:b/>
          <w:color w:val="000000"/>
        </w:rPr>
        <w:t>DESCRIÇÃO DO OBJETO:</w:t>
      </w:r>
    </w:p>
    <w:p>
      <w:pPr>
        <w:pStyle w:val="Normal"/>
        <w:spacing w:lineRule="auto" w:line="276"/>
        <w:ind w:firstLine="68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</w:rPr>
        <w:t>Contratação de empresa especializada em arbitragem para jogos de competições na modalidade campeonato regional de futsal – 1ª Taça Sicredi de Futsal Regional, promovido pela Secretaria Municipal de Educação e Desporto, através do CMD e em parceria com o Sicredi, o campeonato será dividido em 3 categorias – Masculino Livre, Feminino Livre e Veterano Maculino. O prazo de realização dos jogos do campeonato será no período de junho até setembro de 2025. Os jogos serão realizados no turno da noite, nas terças-feiras e quintas-feiras, com início às 19 horas. O público envolvido com o evento será a comunidade em geral e municípios vizinhos.</w:t>
      </w:r>
    </w:p>
    <w:p>
      <w:pPr>
        <w:pStyle w:val="NormalWeb"/>
        <w:spacing w:lineRule="auto" w:line="276" w:before="280" w:after="2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6"/>
        <w:gridCol w:w="4879"/>
        <w:gridCol w:w="3799"/>
      </w:tblGrid>
      <w:tr>
        <w:trPr/>
        <w:tc>
          <w:tcPr>
            <w:tcW w:w="956" w:type="dxa"/>
            <w:tcBorders/>
          </w:tcPr>
          <w:p>
            <w:pPr>
              <w:pStyle w:val="NormalWeb"/>
              <w:spacing w:lineRule="auto" w:line="276" w:before="280" w:after="28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lang w:val="pt-BR"/>
              </w:rPr>
              <w:t>Item</w:t>
            </w:r>
          </w:p>
        </w:tc>
        <w:tc>
          <w:tcPr>
            <w:tcW w:w="4879" w:type="dxa"/>
            <w:tcBorders/>
          </w:tcPr>
          <w:p>
            <w:pPr>
              <w:pStyle w:val="NormalWeb"/>
              <w:spacing w:lineRule="auto" w:line="276" w:before="280" w:after="28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lang w:val="pt-BR"/>
              </w:rPr>
              <w:t>Descrição</w:t>
            </w:r>
          </w:p>
        </w:tc>
        <w:tc>
          <w:tcPr>
            <w:tcW w:w="3799" w:type="dxa"/>
            <w:tcBorders/>
          </w:tcPr>
          <w:p>
            <w:pPr>
              <w:pStyle w:val="NormalWeb"/>
              <w:spacing w:lineRule="auto" w:line="276" w:before="280" w:after="28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lang w:val="pt-BR"/>
              </w:rPr>
              <w:t>Número de jogos</w:t>
            </w:r>
          </w:p>
        </w:tc>
      </w:tr>
      <w:tr>
        <w:trPr/>
        <w:tc>
          <w:tcPr>
            <w:tcW w:w="956" w:type="dxa"/>
            <w:tcBorders/>
          </w:tcPr>
          <w:p>
            <w:pPr>
              <w:pStyle w:val="NormalWeb"/>
              <w:spacing w:lineRule="auto" w:line="276" w:before="280" w:after="2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t-BR"/>
              </w:rPr>
              <w:t>!</w:t>
            </w:r>
          </w:p>
        </w:tc>
        <w:tc>
          <w:tcPr>
            <w:tcW w:w="4879" w:type="dxa"/>
            <w:tcBorders/>
          </w:tcPr>
          <w:p>
            <w:pPr>
              <w:pStyle w:val="NormalWeb"/>
              <w:spacing w:lineRule="auto" w:line="276" w:before="280" w:after="2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t-BR"/>
              </w:rPr>
              <w:t>Arbitragem para o Campeonato</w:t>
            </w:r>
          </w:p>
          <w:p>
            <w:pPr>
              <w:pStyle w:val="NormalWeb"/>
              <w:spacing w:lineRule="auto" w:line="276" w:before="280" w:after="2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t-BR"/>
              </w:rPr>
              <w:t>1ª Taça Sicredi de Futsal Regional</w:t>
            </w:r>
          </w:p>
        </w:tc>
        <w:tc>
          <w:tcPr>
            <w:tcW w:w="3799" w:type="dxa"/>
            <w:tcBorders/>
          </w:tcPr>
          <w:p>
            <w:pPr>
              <w:pStyle w:val="NormalWeb"/>
              <w:spacing w:lineRule="auto" w:line="276" w:before="280" w:after="28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lang w:val="pt-BR"/>
              </w:rPr>
              <w:t>79 jogos -</w:t>
            </w:r>
          </w:p>
          <w:p>
            <w:pPr>
              <w:pStyle w:val="NormalWeb"/>
              <w:spacing w:lineRule="auto" w:line="276" w:before="280" w:after="2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t-BR"/>
              </w:rPr>
              <w:t>14 jogos Feminino Livre</w:t>
            </w:r>
          </w:p>
          <w:p>
            <w:pPr>
              <w:pStyle w:val="NormalWeb"/>
              <w:spacing w:lineRule="auto" w:line="276" w:before="280" w:after="2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t-BR"/>
              </w:rPr>
              <w:t>14 jogos Veterano Masculino</w:t>
            </w:r>
          </w:p>
          <w:p>
            <w:pPr>
              <w:pStyle w:val="NormalWeb"/>
              <w:spacing w:lineRule="auto" w:line="276" w:before="280" w:after="2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t-BR"/>
              </w:rPr>
              <w:t>51 jogos Livre Masculino</w:t>
            </w:r>
          </w:p>
        </w:tc>
      </w:tr>
    </w:tbl>
    <w:p>
      <w:pPr>
        <w:pStyle w:val="NormalWeb"/>
        <w:spacing w:lineRule="auto" w:line="276" w:before="280" w:after="2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false"/>
        <w:spacing w:lineRule="auto" w:line="360"/>
        <w:ind w:hanging="360" w:left="10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bCs/>
        </w:rPr>
        <w:t xml:space="preserve">2. </w:t>
      </w:r>
      <w:r>
        <w:rPr>
          <w:rFonts w:cs="Arial" w:ascii="Arial" w:hAnsi="Arial"/>
          <w:b/>
        </w:rPr>
        <w:t>FUNDAMENTAÇÃO/JUSTIFICATIVA DA CONTRATAÇÃO:</w:t>
      </w:r>
      <w:bookmarkStart w:id="0" w:name="bookmark=id.gjdgxs"/>
      <w:bookmarkEnd w:id="0"/>
    </w:p>
    <w:p>
      <w:pPr>
        <w:pStyle w:val="Normal"/>
        <w:widowControl/>
        <w:suppressAutoHyphens w:val="false"/>
        <w:spacing w:lineRule="auto" w:line="276"/>
        <w:ind w:firstLine="680"/>
        <w:jc w:val="both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A Secretaria Municipal de Educação e Desporto e o CMD acreditam fielmente que o esporte beneficia corpo e mente, que a prática desportiva pode auxiliar não apenas na execução técnica do esporte, mas também na construção da convivência, administração de conflitos, reconhecimento e aceitação das limitações, disciplina, trabalho em equipe e competitividade das pessoas de diferentes idades. Sendo assim, justifica-se a presente contratação tendo em vista a realização de Campeonato </w:t>
      </w:r>
      <w:r>
        <w:rPr>
          <w:rFonts w:cs="Arial" w:ascii="Arial" w:hAnsi="Arial"/>
          <w:lang w:val="pt-BR"/>
        </w:rPr>
        <w:t>1ª Taça Sicredi de Futsal Regional</w:t>
      </w:r>
      <w:r>
        <w:rPr>
          <w:rFonts w:cs="Arial" w:ascii="Arial" w:hAnsi="Arial"/>
        </w:rPr>
        <w:t>, o qual oportunizará incentivo a prática de esportes aos atletas do município e da região. Para tanto é necessário que a Secretaria, através do CMD, forneça uma equipe de arbitragem que preste este serviço com excelência nos jogos do Campeonato</w:t>
      </w:r>
      <w:bookmarkStart w:id="1" w:name="_Hlk1323602521"/>
      <w:bookmarkStart w:id="2" w:name="_Hlk126649212"/>
      <w:bookmarkEnd w:id="1"/>
      <w:bookmarkEnd w:id="2"/>
      <w:r>
        <w:rPr>
          <w:rFonts w:cs="Arial" w:ascii="Arial" w:hAnsi="Arial"/>
        </w:rPr>
        <w:t xml:space="preserve"> da 1ª Taça Sicredi de Futsal Regional.</w:t>
      </w:r>
    </w:p>
    <w:p>
      <w:pPr>
        <w:pStyle w:val="NormalWeb"/>
        <w:spacing w:lineRule="auto" w:line="276" w:before="280" w:after="2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false"/>
        <w:spacing w:lineRule="auto" w:line="360"/>
        <w:ind w:hanging="360" w:left="104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bCs/>
        </w:rPr>
        <w:t>3.</w:t>
      </w:r>
      <w:r>
        <w:rPr>
          <w:rFonts w:cs="Arial" w:ascii="Arial" w:hAnsi="Arial"/>
          <w:b/>
        </w:rPr>
        <w:t xml:space="preserve"> DESCRIÇÃO </w:t>
      </w:r>
      <w:r>
        <w:rPr>
          <w:rFonts w:cs="Arial" w:ascii="Arial" w:hAnsi="Arial"/>
          <w:b/>
          <w:color w:val="000000"/>
        </w:rPr>
        <w:t>DA SOLUÇÃO COMO UM TODO:</w:t>
      </w:r>
    </w:p>
    <w:p>
      <w:pPr>
        <w:pStyle w:val="Normal"/>
        <w:spacing w:lineRule="auto" w:line="276"/>
        <w:ind w:firstLine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Considerando o conjunto de todos os elementos de forma integrada que compõem o presente Termo de Referência, se espera que a solução pretendida atenda de forma eficiente e eficaz todas as necessidades da demanda, que consiste na arbitragem para o Campeonato da </w:t>
      </w:r>
      <w:r>
        <w:rPr>
          <w:rFonts w:cs="Arial" w:ascii="Arial" w:hAnsi="Arial"/>
          <w:color w:val="000000"/>
          <w:lang w:val="pt-BR"/>
        </w:rPr>
        <w:t>1ª Taça Sicredi de Futsal Regional</w:t>
      </w:r>
      <w:r>
        <w:rPr>
          <w:rFonts w:cs="Arial" w:ascii="Arial" w:hAnsi="Arial"/>
          <w:color w:val="000000"/>
        </w:rPr>
        <w:t xml:space="preserve">. A elaboração da escala de arbitragem é de inteira responsabilidade da empresa vencedora do certame, que deverá observar as normas previstas no regulamento do respectivo campeonato. A escala de arbitragem será entregue pelo representante legal da empresa contratada na sede da Secretaria Municipal de Educação e Desporto, situada na Praça Mose Míssio, centro, Ronda Alta/RS. Na escala deverão constar, obrigatoriamente, os nomes completos dos árbitros e árbitros assistentes, que atuarão em cada evento. A arbitragem será composta por 1 árbitro, 2 assistentes e 1 mesário por jogo. Os árbitros e auxiliares que atuarão no jogo deverão estar presentes no dia designado para a partida em que atuarão com, no mínimo, 30 (trinta) minutos de antecedência ao horário previsto na tabela para início do jogo. Constatado pela Secretaria Municipal de Educação e Desporto e CMD, através de laudo, que os serviços se encontram em desacordo com o Edital, após contraditório da contratada, os serviços serão interrompidos, podendo culminar na rescisão do contrato, independentemente da aplicação das sanções previstas em lei. Todas as despesas e encargos com funcionários, transporte e alimentação será de exclusiva responsabilidade da contratada. Todas as ordens no decorrer da execução dos serviços deverão ser dadas expressamente pela Secretária Municipal de Educação e Desporto e pelo Coordenador do CMD. Estarão a cargo da empresa vencedora todas as despesas de impressão, frete de envio dos materiais relacionados, passagens, estadias e alimentação dos profissionais que executarão os serviços, encargos </w:t>
        <w:tab/>
        <w:t xml:space="preserve">trabalhistas, </w:t>
        <w:tab/>
        <w:t xml:space="preserve">previdenciários, fiscais e comerciais, taxas e tributos que incidirem sobre os serviços.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widowControl/>
        <w:suppressAutoHyphens w:val="false"/>
        <w:spacing w:lineRule="auto" w:line="360"/>
        <w:ind w:hanging="360" w:left="104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4. GESTÃO E FISCALIZAÇÃO DE CONTRATO:</w:t>
      </w:r>
    </w:p>
    <w:p>
      <w:pPr>
        <w:pStyle w:val="Normal"/>
        <w:spacing w:lineRule="auto" w:line="276"/>
        <w:ind w:firstLine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O gestor indicado deverá ser o Sra. Andréia Scarpin Noetzold, matrícula 565-7 e como fiscalizador do contrato será o Coordenador do CMD Sr. Edvan Scariot Sartori, matrícula 125-8.  </w:t>
      </w:r>
    </w:p>
    <w:p>
      <w:pPr>
        <w:pStyle w:val="Normal"/>
        <w:spacing w:lineRule="auto" w:line="360"/>
        <w:ind w:firstLine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widowControl/>
        <w:suppressAutoHyphens w:val="false"/>
        <w:spacing w:lineRule="auto" w:line="360"/>
        <w:ind w:hanging="360" w:left="104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5. CRITÉRIOS DE MEDIÇÃO E PAGAMENTO:</w:t>
      </w:r>
    </w:p>
    <w:p>
      <w:pPr>
        <w:pStyle w:val="Normal"/>
        <w:spacing w:lineRule="auto" w:line="276"/>
        <w:ind w:firstLine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O pagamento será realizado mediante apresentação de documento fiscal, o qual será recebido e atestado pelo fiscalizador e se tudo estiver em acordo com o pactuado haverá o encaminhamento para procedimento de liquidação e pagamento. </w:t>
      </w:r>
    </w:p>
    <w:p>
      <w:pPr>
        <w:pStyle w:val="Normal"/>
        <w:spacing w:lineRule="auto" w:line="360"/>
        <w:ind w:firstLine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/>
        <w:suppressAutoHyphens w:val="false"/>
        <w:spacing w:lineRule="auto" w:line="360"/>
        <w:ind w:hanging="360" w:left="104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6. FORMA E CRITÉRIOS DE AVALIAÇÃO DO FORNECEDOR:</w:t>
      </w:r>
    </w:p>
    <w:p>
      <w:pPr>
        <w:pStyle w:val="Normal"/>
        <w:spacing w:lineRule="auto" w:line="360"/>
        <w:ind w:firstLine="68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color w:val="000000"/>
        </w:rPr>
        <w:t xml:space="preserve">O critério de julgamento para escolha do fornecedor deverá ser o menor preço global. </w:t>
      </w:r>
    </w:p>
    <w:p>
      <w:pPr>
        <w:pStyle w:val="Normal"/>
        <w:spacing w:lineRule="auto" w:line="360"/>
        <w:ind w:hanging="680" w:left="68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ind w:hanging="680" w:left="68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widowControl/>
        <w:suppressAutoHyphens w:val="false"/>
        <w:spacing w:lineRule="auto" w:line="360"/>
        <w:ind w:hanging="360" w:left="1040"/>
        <w:jc w:val="both"/>
        <w:rPr>
          <w:color w:val="000000"/>
        </w:rPr>
      </w:pPr>
      <w:r>
        <w:rPr>
          <w:rFonts w:cs="Arial" w:ascii="Arial" w:hAnsi="Arial"/>
          <w:b/>
          <w:color w:val="000000"/>
        </w:rPr>
        <w:t>7. ESTIMATIVA DO VALOR DA CONTRATAÇÃO:</w:t>
      </w:r>
      <w:bookmarkStart w:id="3" w:name="bookmark=id.3znysh7"/>
      <w:bookmarkEnd w:id="3"/>
    </w:p>
    <w:p>
      <w:pPr>
        <w:pStyle w:val="Normal"/>
        <w:spacing w:lineRule="auto" w:line="276"/>
        <w:ind w:firstLine="680"/>
        <w:jc w:val="both"/>
        <w:rPr>
          <w:color w:val="000000"/>
        </w:rPr>
      </w:pPr>
      <w:r>
        <w:rPr>
          <w:rFonts w:cs="Arial" w:ascii="Arial" w:hAnsi="Arial"/>
          <w:color w:val="000000"/>
        </w:rPr>
        <w:t>O valor total estimado para a presente compra é de R$ 240,00 o jogo, totalizando 79 jogos no montante de R$ 18.960,00. Tendo como base a pesquisa de preços realizada pela Secretaria da Educação e Desporto.</w:t>
      </w:r>
    </w:p>
    <w:p>
      <w:pPr>
        <w:pStyle w:val="Normal"/>
        <w:spacing w:lineRule="auto" w:line="360"/>
        <w:ind w:left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left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/>
        <w:suppressAutoHyphens w:val="false"/>
        <w:spacing w:lineRule="auto" w:line="360"/>
        <w:ind w:hanging="360" w:left="104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DOTAÇÃO ORÇAMENTÁRIA:</w:t>
      </w:r>
    </w:p>
    <w:p>
      <w:pPr>
        <w:pStyle w:val="Normal"/>
        <w:spacing w:lineRule="auto" w:line="360"/>
        <w:ind w:firstLine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 presente compra utilizará as seguintes dotações orçamentárias: </w:t>
      </w:r>
    </w:p>
    <w:p>
      <w:pPr>
        <w:pStyle w:val="Normal"/>
        <w:spacing w:lineRule="auto" w:line="360"/>
        <w:ind w:firstLine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0705 27 812 0068 2035 339039 05 00 00 00 1500 – 116889.</w:t>
      </w:r>
    </w:p>
    <w:p>
      <w:pPr>
        <w:pStyle w:val="Normal"/>
        <w:spacing w:lineRule="auto" w:line="360"/>
        <w:ind w:firstLine="29" w:left="6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29" w:left="6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40" w:left="5720"/>
        <w:jc w:val="right"/>
        <w:rPr>
          <w:rFonts w:ascii="Arial" w:hAnsi="Arial" w:cs="Arial"/>
        </w:rPr>
      </w:pPr>
      <w:r>
        <w:rPr>
          <w:rFonts w:cs="Arial" w:ascii="Arial" w:hAnsi="Arial"/>
        </w:rPr>
        <w:t>Ronda Alta, 03 de junho de 2025.</w:t>
      </w:r>
    </w:p>
    <w:p>
      <w:pPr>
        <w:pStyle w:val="Normal"/>
        <w:spacing w:lineRule="auto" w:line="360"/>
        <w:ind w:hanging="680" w:left="6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hanging="680" w:left="6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Andréia Scarpin Noetzold – 565-7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Secretária Municipal de Educação e Desporto</w:t>
      </w:r>
    </w:p>
    <w:p>
      <w:pPr>
        <w:pStyle w:val="Normal"/>
        <w:spacing w:lineRule="auto" w:line="276" w:before="0" w:after="20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56f5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link w:val="Ttulo1Char"/>
    <w:uiPriority w:val="9"/>
    <w:qFormat/>
    <w:rsid w:val="007c1ba7"/>
    <w:pPr>
      <w:keepNext w:val="true"/>
      <w:keepLines/>
      <w:widowControl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40"/>
      <w:szCs w:val="40"/>
      <w:lang w:eastAsia="en-US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c1ba7"/>
    <w:pPr>
      <w:keepNext w:val="true"/>
      <w:keepLines/>
      <w:widowControl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32"/>
      <w:szCs w:val="32"/>
      <w:lang w:eastAsia="en-US" w:bidi="ar-SA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c1ba7"/>
    <w:pPr>
      <w:keepNext w:val="true"/>
      <w:keepLines/>
      <w:widowControl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0"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c1ba7"/>
    <w:pPr>
      <w:keepNext w:val="true"/>
      <w:keepLines/>
      <w:widowControl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0"/>
      <w:sz w:val="22"/>
      <w:szCs w:val="22"/>
      <w:lang w:eastAsia="en-US" w:bidi="ar-SA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c1ba7"/>
    <w:pPr>
      <w:keepNext w:val="true"/>
      <w:keepLines/>
      <w:widowControl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0"/>
      <w:sz w:val="22"/>
      <w:szCs w:val="22"/>
      <w:lang w:eastAsia="en-US" w:bidi="ar-SA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c1ba7"/>
    <w:pPr>
      <w:keepNext w:val="true"/>
      <w:keepLines/>
      <w:widowControl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0"/>
      <w:sz w:val="22"/>
      <w:szCs w:val="22"/>
      <w:lang w:eastAsia="en-US" w:bidi="ar-SA"/>
    </w:rPr>
  </w:style>
  <w:style w:type="paragraph" w:styleId="Heading7">
    <w:name w:val="heading 7"/>
    <w:basedOn w:val="Normal"/>
    <w:next w:val="Normal"/>
    <w:link w:val="Ttulo7Char"/>
    <w:unhideWhenUsed/>
    <w:qFormat/>
    <w:rsid w:val="007c1ba7"/>
    <w:pPr>
      <w:keepNext w:val="true"/>
      <w:keepLines/>
      <w:widowControl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0"/>
      <w:sz w:val="22"/>
      <w:szCs w:val="22"/>
      <w:lang w:eastAsia="en-US" w:bidi="ar-SA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c1ba7"/>
    <w:pPr>
      <w:keepNext w:val="true"/>
      <w:keepLines/>
      <w:widowControl/>
      <w:suppressAutoHyphens w:val="false"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0"/>
      <w:sz w:val="22"/>
      <w:szCs w:val="22"/>
      <w:lang w:eastAsia="en-US" w:bidi="ar-SA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c1ba7"/>
    <w:pPr>
      <w:keepNext w:val="true"/>
      <w:keepLines/>
      <w:widowControl/>
      <w:suppressAutoHyphens w:val="false"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0"/>
      <w:sz w:val="22"/>
      <w:szCs w:val="22"/>
      <w:lang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c1ba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7c1ba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7c1ba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7c1ba7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7c1ba7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7c1ba7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7c1ba7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7c1ba7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7c1ba7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7c1ba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7c1ba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7c1ba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c1ba7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7c1ba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c1ba7"/>
    <w:rPr>
      <w:b/>
      <w:bCs/>
      <w:smallCaps/>
      <w:color w:themeColor="accent1" w:themeShade="bf" w:val="2F5496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7c1ba7"/>
    <w:pPr>
      <w:widowControl/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 w:bidi="ar-SA"/>
    </w:rPr>
  </w:style>
  <w:style w:type="paragraph" w:styleId="Subtitle">
    <w:name w:val="Subtitle"/>
    <w:basedOn w:val="Normal"/>
    <w:next w:val="Normal"/>
    <w:link w:val="SubttuloChar"/>
    <w:uiPriority w:val="11"/>
    <w:qFormat/>
    <w:rsid w:val="007c1ba7"/>
    <w:pPr>
      <w:widowControl/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0"/>
      <w:sz w:val="28"/>
      <w:szCs w:val="28"/>
      <w:lang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7c1ba7"/>
    <w:pPr>
      <w:widowControl/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0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7c1ba7"/>
    <w:pPr>
      <w:widowControl/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c1ba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0"/>
      <w:sz w:val="22"/>
      <w:szCs w:val="22"/>
      <w:lang w:eastAsia="en-US" w:bidi="ar-SA"/>
    </w:rPr>
  </w:style>
  <w:style w:type="paragraph" w:styleId="western" w:customStyle="1">
    <w:name w:val="western"/>
    <w:basedOn w:val="Normal"/>
    <w:qFormat/>
    <w:rsid w:val="001556f5"/>
    <w:pPr>
      <w:spacing w:beforeAutospacing="1" w:after="142"/>
    </w:pPr>
    <w:rPr>
      <w:rFonts w:ascii="Times New Roman" w:hAnsi="Times New Roman" w:eastAsia="Times New Roman" w:cs="Times New Roman"/>
      <w:color w:val="000000"/>
      <w:lang w:eastAsia="pt-BR"/>
    </w:rPr>
  </w:style>
  <w:style w:type="paragraph" w:styleId="NormalWeb">
    <w:name w:val="Normal (Web)"/>
    <w:basedOn w:val="Normal"/>
    <w:qFormat/>
    <w:rsid w:val="001556f5"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Contedodatabelauser" w:customStyle="1">
    <w:name w:val="Conteúdo da tabela (user)"/>
    <w:basedOn w:val="Normal"/>
    <w:qFormat/>
    <w:rsid w:val="001556f5"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533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LibreOffice/25.2.2.2$Windows_X86_64 LibreOffice_project/7370d4be9e3cf6031a51beef54ff3bda878e3fac</Application>
  <AppVersion>15.0000</AppVersion>
  <Pages>3</Pages>
  <Words>788</Words>
  <Characters>4393</Characters>
  <CharactersWithSpaces>5156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2025-02-26T19:58:00Z</dcterms:created>
  <dc:creator>belonidallalana@outlook.com</dc:creator>
  <dc:description/>
  <dc:language>pt-BR</dc:language>
  <cp:lastModifiedBy/>
  <cp:lastPrinted>2025-03-17T17:10:38Z</cp:lastPrinted>
  <dcterms:modified xsi:type="dcterms:W3CDTF">2025-06-03T09:10:33Z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